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ED22" w14:textId="17B2E5C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w:t>
      </w:r>
      <w:r w:rsidR="00500F50">
        <w:rPr>
          <w:rFonts w:ascii="Arial" w:eastAsia="SimSun" w:hAnsi="Arial" w:cs="Times New Roman"/>
          <w:b/>
          <w:sz w:val="24"/>
          <w:szCs w:val="20"/>
        </w:rPr>
        <w:t>10</w:t>
      </w:r>
      <w:r w:rsidR="00AA27EA">
        <w:rPr>
          <w:rFonts w:ascii="Arial" w:eastAsia="SimSun" w:hAnsi="Arial" w:cs="Times New Roman"/>
          <w:b/>
          <w:sz w:val="24"/>
          <w:szCs w:val="20"/>
        </w:rPr>
        <w:t>-bis</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167A1F">
        <w:rPr>
          <w:rFonts w:ascii="Arial" w:eastAsia="SimSun" w:hAnsi="Arial" w:cs="Times New Roman"/>
          <w:b/>
          <w:bCs/>
          <w:sz w:val="24"/>
          <w:szCs w:val="20"/>
          <w:lang w:eastAsia="ja-JP"/>
        </w:rPr>
        <w:t>R4-</w:t>
      </w:r>
      <w:r w:rsidR="00AE2BA5" w:rsidRPr="00167A1F">
        <w:rPr>
          <w:rFonts w:ascii="Arial" w:eastAsia="SimSun" w:hAnsi="Arial" w:cs="Times New Roman"/>
          <w:b/>
          <w:bCs/>
          <w:sz w:val="24"/>
          <w:szCs w:val="20"/>
          <w:lang w:eastAsia="zh-CN"/>
        </w:rPr>
        <w:t>2</w:t>
      </w:r>
      <w:r w:rsidR="00F13E2D" w:rsidRPr="00167A1F">
        <w:rPr>
          <w:rFonts w:ascii="Arial" w:eastAsia="SimSun" w:hAnsi="Arial" w:cs="Times New Roman"/>
          <w:b/>
          <w:bCs/>
          <w:sz w:val="24"/>
          <w:szCs w:val="20"/>
          <w:lang w:eastAsia="zh-CN"/>
        </w:rPr>
        <w:t>4</w:t>
      </w:r>
      <w:r w:rsidR="00167A1F" w:rsidRPr="00167A1F">
        <w:rPr>
          <w:rFonts w:ascii="Arial" w:eastAsia="SimSun" w:hAnsi="Arial" w:cs="Times New Roman"/>
          <w:b/>
          <w:bCs/>
          <w:sz w:val="24"/>
          <w:szCs w:val="20"/>
          <w:lang w:eastAsia="zh-CN"/>
        </w:rPr>
        <w:t>05681</w:t>
      </w:r>
    </w:p>
    <w:p w14:paraId="5C561082" w14:textId="1A0AF91A" w:rsidR="00841BCD" w:rsidRPr="008C39F7" w:rsidRDefault="00AA27E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AA27EA">
        <w:rPr>
          <w:rFonts w:ascii="Arial" w:eastAsia="SimSun" w:hAnsi="Arial" w:cs="Times New Roman"/>
          <w:b/>
          <w:sz w:val="24"/>
          <w:szCs w:val="20"/>
        </w:rPr>
        <w:t>Changsha</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China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April</w:t>
      </w:r>
      <w:r w:rsidR="00521576" w:rsidRPr="008C39F7">
        <w:rPr>
          <w:rFonts w:ascii="Arial" w:eastAsia="SimSun" w:hAnsi="Arial" w:cs="Times New Roman"/>
          <w:b/>
          <w:sz w:val="24"/>
          <w:szCs w:val="20"/>
        </w:rPr>
        <w:t xml:space="preserve"> </w:t>
      </w:r>
      <w:r>
        <w:rPr>
          <w:rFonts w:ascii="Arial" w:eastAsia="SimSun" w:hAnsi="Arial" w:cs="Times New Roman"/>
          <w:b/>
          <w:sz w:val="24"/>
          <w:szCs w:val="20"/>
        </w:rPr>
        <w:t>15</w:t>
      </w:r>
      <w:r w:rsidR="00A04992" w:rsidRPr="008C39F7">
        <w:rPr>
          <w:rFonts w:ascii="Arial" w:eastAsia="SimSun" w:hAnsi="Arial" w:cs="Times New Roman"/>
          <w:b/>
          <w:sz w:val="24"/>
          <w:szCs w:val="20"/>
        </w:rPr>
        <w:t xml:space="preserve"> –</w:t>
      </w:r>
      <w:r w:rsidR="000510ED">
        <w:rPr>
          <w:rFonts w:ascii="Arial" w:eastAsia="SimSun" w:hAnsi="Arial" w:cs="Times New Roman"/>
          <w:b/>
          <w:sz w:val="24"/>
          <w:szCs w:val="20"/>
        </w:rPr>
        <w:t xml:space="preserve"> </w:t>
      </w:r>
      <w:r>
        <w:rPr>
          <w:rFonts w:ascii="Arial" w:eastAsia="SimSun" w:hAnsi="Arial" w:cs="Times New Roman"/>
          <w:b/>
          <w:sz w:val="24"/>
          <w:szCs w:val="20"/>
        </w:rPr>
        <w:t>19</w:t>
      </w:r>
      <w:r w:rsidR="00A04992" w:rsidRPr="008C39F7">
        <w:rPr>
          <w:rFonts w:ascii="Arial" w:eastAsia="SimSun" w:hAnsi="Arial" w:cs="Times New Roman"/>
          <w:b/>
          <w:sz w:val="24"/>
          <w:szCs w:val="20"/>
        </w:rPr>
        <w:t>, 202</w:t>
      </w:r>
      <w:r w:rsidR="00500F50">
        <w:rPr>
          <w:rFonts w:ascii="Arial" w:eastAsia="SimSun" w:hAnsi="Arial" w:cs="Times New Roman"/>
          <w:b/>
          <w:sz w:val="24"/>
          <w:szCs w:val="20"/>
        </w:rPr>
        <w:t>4</w:t>
      </w:r>
    </w:p>
    <w:bookmarkEnd w:id="0"/>
    <w:bookmarkEnd w:id="1"/>
    <w:p w14:paraId="6CC43F4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4EA14BFA"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4C26F9F4" w14:textId="270B2951"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8F7946">
        <w:rPr>
          <w:rFonts w:ascii="Arial" w:eastAsia="Calibri" w:hAnsi="Arial" w:cs="Arial"/>
          <w:b/>
          <w:bCs/>
          <w:sz w:val="24"/>
        </w:rPr>
        <w:t xml:space="preserve">Discussion on </w:t>
      </w:r>
      <w:r w:rsidR="006D2B1A">
        <w:rPr>
          <w:rFonts w:ascii="Arial" w:eastAsia="Calibri" w:hAnsi="Arial" w:cs="Arial"/>
          <w:b/>
          <w:bCs/>
          <w:sz w:val="24"/>
        </w:rPr>
        <w:t>expected EIRP mask</w:t>
      </w:r>
      <w:r w:rsidR="008A3EE9">
        <w:rPr>
          <w:rFonts w:ascii="Arial" w:eastAsia="Calibri" w:hAnsi="Arial" w:cs="Arial"/>
          <w:b/>
          <w:bCs/>
          <w:sz w:val="24"/>
        </w:rPr>
        <w:t xml:space="preserve"> above horizon</w:t>
      </w:r>
    </w:p>
    <w:p w14:paraId="0E4FE3E7" w14:textId="0D7EA3BE"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8F7946" w:rsidRPr="008F7946">
        <w:rPr>
          <w:rFonts w:ascii="Arial" w:eastAsia="MS Mincho" w:hAnsi="Arial" w:cs="Arial"/>
          <w:b/>
          <w:bCs/>
          <w:sz w:val="24"/>
          <w:szCs w:val="20"/>
        </w:rPr>
        <w:t>9.2.2</w:t>
      </w:r>
      <w:r w:rsidR="008F7946" w:rsidRPr="008F7946">
        <w:rPr>
          <w:rFonts w:ascii="Arial" w:eastAsia="MS Mincho" w:hAnsi="Arial" w:cs="Arial"/>
          <w:b/>
          <w:bCs/>
          <w:sz w:val="24"/>
          <w:szCs w:val="20"/>
        </w:rPr>
        <w:tab/>
        <w:t>Expected EIRP mask for upper 6GHz</w:t>
      </w:r>
      <w:r w:rsidR="008F7946" w:rsidRPr="008F7946">
        <w:rPr>
          <w:rFonts w:ascii="Arial" w:eastAsia="MS Mincho" w:hAnsi="Arial" w:cs="Arial"/>
          <w:b/>
          <w:bCs/>
          <w:sz w:val="24"/>
          <w:szCs w:val="20"/>
        </w:rPr>
        <w:tab/>
        <w:t>[</w:t>
      </w:r>
      <w:proofErr w:type="spellStart"/>
      <w:r w:rsidR="008F7946" w:rsidRPr="008F7946">
        <w:rPr>
          <w:rFonts w:ascii="Arial" w:eastAsia="MS Mincho" w:hAnsi="Arial" w:cs="Arial"/>
          <w:b/>
          <w:bCs/>
          <w:sz w:val="24"/>
          <w:szCs w:val="20"/>
        </w:rPr>
        <w:t>NR_BS_RF_req_evo</w:t>
      </w:r>
      <w:proofErr w:type="spellEnd"/>
      <w:r w:rsidR="008F7946" w:rsidRPr="008F7946">
        <w:rPr>
          <w:rFonts w:ascii="Arial" w:eastAsia="MS Mincho" w:hAnsi="Arial" w:cs="Arial"/>
          <w:b/>
          <w:bCs/>
          <w:sz w:val="24"/>
          <w:szCs w:val="20"/>
        </w:rPr>
        <w:t>-Core]</w:t>
      </w:r>
    </w:p>
    <w:p w14:paraId="29E6DBBA" w14:textId="5DECE48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DB1012">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7777777" w:rsidR="00841BCD" w:rsidRPr="00500F50" w:rsidRDefault="00841BCD" w:rsidP="00A37002">
      <w:pPr>
        <w:pStyle w:val="RAN4H1"/>
      </w:pPr>
      <w:bookmarkStart w:id="3" w:name="_Toc116995841"/>
      <w:r w:rsidRPr="00500F50">
        <w:t>Intro</w:t>
      </w:r>
      <w:r w:rsidRPr="00500F50">
        <w:rPr>
          <w:rStyle w:val="RAN4H1Char"/>
          <w:lang w:val="en-US"/>
        </w:rPr>
        <w:t>ductio</w:t>
      </w:r>
      <w:r w:rsidRPr="00500F50">
        <w:t>n</w:t>
      </w:r>
      <w:bookmarkEnd w:id="3"/>
    </w:p>
    <w:p w14:paraId="69F47B69" w14:textId="085B4EE6" w:rsidR="00DA31C7" w:rsidRDefault="108B31D2" w:rsidP="00667039">
      <w:r>
        <w:t xml:space="preserve">TSG </w:t>
      </w:r>
      <w:r w:rsidR="00DA31C7">
        <w:t>RAN#103 meeting a</w:t>
      </w:r>
      <w:r w:rsidR="34103E96">
        <w:t>pproved</w:t>
      </w:r>
      <w:r w:rsidR="00DA31C7">
        <w:t xml:space="preserve"> </w:t>
      </w:r>
      <w:r w:rsidR="00CA1BD9">
        <w:t xml:space="preserve">new Rel-19 work item </w:t>
      </w:r>
      <w:r w:rsidR="008E773E">
        <w:t>“NR base station (BS) RF requirement evolution for FR1/FR2 and testing” [1]. This work item includes two objectives: one is related to expected EIRP mask for upper 6 GHz, and other is related to OTA test enhancement.</w:t>
      </w:r>
    </w:p>
    <w:p w14:paraId="25418194" w14:textId="55DFDE2D" w:rsidR="008E773E" w:rsidRDefault="008E773E" w:rsidP="00D41ED4">
      <w:r w:rsidRPr="008E773E">
        <w:t>WRC</w:t>
      </w:r>
      <w:r>
        <w:t>-</w:t>
      </w:r>
      <w:r w:rsidRPr="008E773E">
        <w:t xml:space="preserve">23 has identified </w:t>
      </w:r>
      <w:r w:rsidR="00F119E6">
        <w:t xml:space="preserve">the </w:t>
      </w:r>
      <w:r>
        <w:t xml:space="preserve">frequency </w:t>
      </w:r>
      <w:r w:rsidR="00863EAF">
        <w:t xml:space="preserve">range </w:t>
      </w:r>
      <w:r>
        <w:t xml:space="preserve">6425 – 7125 MHz which is 3GPP band </w:t>
      </w:r>
      <w:r w:rsidRPr="008E773E">
        <w:t>n104 for IMT</w:t>
      </w:r>
      <w:r w:rsidR="000802A6">
        <w:t xml:space="preserve"> as in the RR Footnotes</w:t>
      </w:r>
      <w:r w:rsidR="00D41ED4">
        <w:t xml:space="preserve"> 5.457D, 5.457E and 5.457F</w:t>
      </w:r>
      <w:r w:rsidR="00863EAF">
        <w:t xml:space="preserve">. </w:t>
      </w:r>
      <w:r w:rsidR="00702566">
        <w:t xml:space="preserve">The IMT identification comes with some technical conditions which includes the </w:t>
      </w:r>
      <w:r w:rsidR="00E13D39">
        <w:t xml:space="preserve">limits on the expected equivalent </w:t>
      </w:r>
      <w:proofErr w:type="spellStart"/>
      <w:r w:rsidR="00E13D39">
        <w:t>isotropically</w:t>
      </w:r>
      <w:proofErr w:type="spellEnd"/>
      <w:r w:rsidR="00E13D39">
        <w:t xml:space="preserve"> radiated power (e.i.r.p.) spectral density of IMT base stations for protecting Earth-to-space fixed satellite services (FSS) as contained in Resolution 220 (WRC-23) [2]</w:t>
      </w:r>
      <w:r w:rsidR="00702566">
        <w:t>.</w:t>
      </w:r>
    </w:p>
    <w:p w14:paraId="65238A74" w14:textId="77777777" w:rsidR="00DF30B8" w:rsidRDefault="00DF30B8" w:rsidP="00DF30B8">
      <w:r>
        <w:t xml:space="preserve">Core part of expected EIRP mask objective of work item [1] is as follow: </w:t>
      </w:r>
    </w:p>
    <w:tbl>
      <w:tblPr>
        <w:tblStyle w:val="TableGrid"/>
        <w:tblW w:w="0" w:type="auto"/>
        <w:tblLook w:val="04A0" w:firstRow="1" w:lastRow="0" w:firstColumn="1" w:lastColumn="0" w:noHBand="0" w:noVBand="1"/>
      </w:tblPr>
      <w:tblGrid>
        <w:gridCol w:w="9617"/>
      </w:tblGrid>
      <w:tr w:rsidR="00DF30B8" w14:paraId="51B97728" w14:textId="77777777" w:rsidTr="00C411A6">
        <w:tc>
          <w:tcPr>
            <w:tcW w:w="9617" w:type="dxa"/>
          </w:tcPr>
          <w:p w14:paraId="1F835E3F" w14:textId="53D89315" w:rsidR="00DF30B8" w:rsidRPr="00DA31C7" w:rsidRDefault="00DF30B8" w:rsidP="00C411A6">
            <w:pPr>
              <w:overflowPunct w:val="0"/>
              <w:autoSpaceDE w:val="0"/>
              <w:autoSpaceDN w:val="0"/>
              <w:adjustRightInd w:val="0"/>
              <w:spacing w:after="180"/>
              <w:ind w:right="-99"/>
              <w:textAlignment w:val="baseline"/>
              <w:rPr>
                <w:rFonts w:eastAsia="DengXian" w:cs="Times New Roman"/>
                <w:bCs/>
                <w:szCs w:val="20"/>
                <w:lang w:val="en-GB" w:eastAsia="ko-KR"/>
              </w:rPr>
            </w:pPr>
            <w:r w:rsidRPr="00DA31C7">
              <w:rPr>
                <w:rFonts w:eastAsia="DengXian" w:cs="Times New Roman"/>
                <w:b/>
                <w:szCs w:val="20"/>
                <w:lang w:val="en-GB" w:eastAsia="en-GB"/>
              </w:rPr>
              <w:t xml:space="preserve">Expected EIRP mask for upper </w:t>
            </w:r>
            <w:proofErr w:type="gramStart"/>
            <w:r w:rsidRPr="00DA31C7">
              <w:rPr>
                <w:rFonts w:eastAsia="DengXian" w:cs="Times New Roman"/>
                <w:b/>
                <w:szCs w:val="20"/>
                <w:lang w:val="en-GB" w:eastAsia="en-GB"/>
              </w:rPr>
              <w:t>6GHz</w:t>
            </w:r>
            <w:proofErr w:type="gramEnd"/>
          </w:p>
          <w:p w14:paraId="0DC34772" w14:textId="77777777" w:rsidR="00DF30B8" w:rsidRPr="00DA31C7" w:rsidRDefault="00DF30B8" w:rsidP="00DF30B8">
            <w:pPr>
              <w:widowControl w:val="0"/>
              <w:numPr>
                <w:ilvl w:val="0"/>
                <w:numId w:val="37"/>
              </w:numPr>
              <w:overflowPunct w:val="0"/>
              <w:autoSpaceDE w:val="0"/>
              <w:autoSpaceDN w:val="0"/>
              <w:adjustRightInd w:val="0"/>
              <w:textAlignment w:val="baseline"/>
              <w:rPr>
                <w:rFonts w:eastAsia="Times New Roman" w:cs="Times New Roman"/>
                <w:szCs w:val="20"/>
                <w:lang w:val="en-GB"/>
              </w:rPr>
            </w:pPr>
            <w:r w:rsidRPr="00DA31C7">
              <w:rPr>
                <w:rFonts w:eastAsia="Times New Roman" w:cs="Times New Roman"/>
                <w:szCs w:val="20"/>
                <w:lang w:val="en-GB"/>
              </w:rPr>
              <w:t>Introduce the concept of “limits on expected EIRP for angles above horizon” into the RAN4 BS specifications and specify related BS requirement for 6425-7125 MHz based on the WRC-23 outcome.</w:t>
            </w:r>
          </w:p>
          <w:p w14:paraId="17988881" w14:textId="77777777" w:rsidR="00DF30B8" w:rsidRPr="008E773E" w:rsidRDefault="00DF30B8" w:rsidP="00DF30B8">
            <w:pPr>
              <w:widowControl w:val="0"/>
              <w:numPr>
                <w:ilvl w:val="1"/>
                <w:numId w:val="37"/>
              </w:numPr>
              <w:overflowPunct w:val="0"/>
              <w:autoSpaceDE w:val="0"/>
              <w:autoSpaceDN w:val="0"/>
              <w:adjustRightInd w:val="0"/>
              <w:spacing w:after="180"/>
              <w:ind w:left="1077" w:hanging="357"/>
              <w:textAlignment w:val="baseline"/>
              <w:rPr>
                <w:rFonts w:eastAsia="Times New Roman" w:cs="Times New Roman"/>
                <w:szCs w:val="20"/>
                <w:lang w:val="en-GB"/>
              </w:rPr>
            </w:pPr>
            <w:r w:rsidRPr="00DA31C7">
              <w:rPr>
                <w:rFonts w:eastAsia="Times New Roman" w:cs="Times New Roman" w:hint="eastAsia"/>
                <w:szCs w:val="20"/>
                <w:lang w:val="en-GB"/>
              </w:rPr>
              <w:t xml:space="preserve">Note: </w:t>
            </w:r>
            <w:r w:rsidRPr="00DA31C7">
              <w:rPr>
                <w:rFonts w:eastAsia="Times New Roman" w:cs="Times New Roman"/>
                <w:szCs w:val="20"/>
                <w:lang w:val="en-GB"/>
              </w:rPr>
              <w:t>target completion date of this objective is December 2024.</w:t>
            </w:r>
          </w:p>
        </w:tc>
      </w:tr>
    </w:tbl>
    <w:p w14:paraId="0A8FA09E" w14:textId="77777777" w:rsidR="003763A7" w:rsidRDefault="003763A7" w:rsidP="00667039">
      <w:pPr>
        <w:rPr>
          <w:lang w:val="en-GB"/>
        </w:rPr>
      </w:pPr>
    </w:p>
    <w:p w14:paraId="068E6986" w14:textId="18DEB8E9" w:rsidR="003763A7" w:rsidRPr="00DF30B8" w:rsidRDefault="003763A7" w:rsidP="00667039">
      <w:pPr>
        <w:rPr>
          <w:lang w:val="en-GB"/>
        </w:rPr>
      </w:pPr>
      <w:r w:rsidRPr="003763A7">
        <w:rPr>
          <w:lang w:val="en-GB"/>
        </w:rPr>
        <w:t>In this contribution we focus</w:t>
      </w:r>
      <w:r w:rsidR="00A2087B">
        <w:rPr>
          <w:lang w:val="en-GB"/>
        </w:rPr>
        <w:t xml:space="preserve"> the</w:t>
      </w:r>
      <w:r w:rsidRPr="003763A7">
        <w:rPr>
          <w:lang w:val="en-GB"/>
        </w:rPr>
        <w:t xml:space="preserve"> discussion on </w:t>
      </w:r>
      <w:r w:rsidR="00702566">
        <w:rPr>
          <w:lang w:val="en-GB"/>
        </w:rPr>
        <w:t xml:space="preserve">the </w:t>
      </w:r>
      <w:r w:rsidRPr="003763A7">
        <w:rPr>
          <w:lang w:val="en-GB"/>
        </w:rPr>
        <w:t xml:space="preserve">first objective which is </w:t>
      </w:r>
      <w:r w:rsidR="00A2087B">
        <w:rPr>
          <w:lang w:val="en-GB"/>
        </w:rPr>
        <w:t xml:space="preserve">the </w:t>
      </w:r>
      <w:r w:rsidRPr="003763A7">
        <w:rPr>
          <w:lang w:val="en-GB"/>
        </w:rPr>
        <w:t>expected EIPR mask for</w:t>
      </w:r>
      <w:r w:rsidR="00A2087B">
        <w:rPr>
          <w:lang w:val="en-GB"/>
        </w:rPr>
        <w:t xml:space="preserve"> the</w:t>
      </w:r>
      <w:r w:rsidRPr="003763A7">
        <w:rPr>
          <w:lang w:val="en-GB"/>
        </w:rPr>
        <w:t xml:space="preserve"> upper 6 GHz.</w:t>
      </w:r>
    </w:p>
    <w:p w14:paraId="6ABDC0E9" w14:textId="77777777" w:rsidR="002A4EF6" w:rsidRDefault="002A4EF6" w:rsidP="002A4EF6">
      <w:pPr>
        <w:pStyle w:val="RAN4H1"/>
      </w:pPr>
      <w:r w:rsidRPr="008C39F7">
        <w:t>Discussion</w:t>
      </w:r>
    </w:p>
    <w:p w14:paraId="596E9396" w14:textId="77777777" w:rsidR="00435A3D" w:rsidRPr="00435A3D" w:rsidRDefault="00435A3D" w:rsidP="00435A3D"/>
    <w:p w14:paraId="50F493E5" w14:textId="5760FAB0" w:rsidR="00863EAF" w:rsidRDefault="00863EAF" w:rsidP="00863EAF">
      <w:pPr>
        <w:pStyle w:val="RAN4H2"/>
      </w:pPr>
      <w:bookmarkStart w:id="4" w:name="_Hlk163067586"/>
      <w:r>
        <w:t>Backgrou</w:t>
      </w:r>
      <w:bookmarkEnd w:id="4"/>
      <w:r>
        <w:t>nd of expected e.i.r.p.</w:t>
      </w:r>
    </w:p>
    <w:p w14:paraId="269E9A92" w14:textId="007A9D9A" w:rsidR="00863EAF" w:rsidRDefault="00863EAF" w:rsidP="00863EAF">
      <w:r>
        <w:t xml:space="preserve">The ITU-R Radio Regulation has introduced the expected e.i.r.p. technical condition for the protection of the FSS uplink (Earth-to-space) satellite receiver from the aggregate effect of IMT base stations. This is introduced through Resolution </w:t>
      </w:r>
      <w:r w:rsidR="00E13D39">
        <w:t>220</w:t>
      </w:r>
      <w:r>
        <w:t xml:space="preserve"> (</w:t>
      </w:r>
      <w:r w:rsidR="00E13D39">
        <w:t xml:space="preserve">previously known as </w:t>
      </w:r>
      <w:r>
        <w:t xml:space="preserve">Resolution </w:t>
      </w:r>
      <w:r w:rsidR="00E13D39">
        <w:t>COM4/7</w:t>
      </w:r>
      <w:r>
        <w:t xml:space="preserve">) </w:t>
      </w:r>
      <w:r w:rsidR="003763A7">
        <w:t xml:space="preserve">[2] </w:t>
      </w:r>
      <w:r>
        <w:t xml:space="preserve">and the relevant excerpt is found in </w:t>
      </w:r>
      <w:r w:rsidR="00E13D39">
        <w:t xml:space="preserve">the </w:t>
      </w:r>
      <w:r>
        <w:t>Annex.</w:t>
      </w:r>
      <w:r w:rsidR="003763A7">
        <w:t xml:space="preserve"> </w:t>
      </w:r>
      <w:r w:rsidR="00E13D39">
        <w:t>The e</w:t>
      </w:r>
      <w:r w:rsidR="003763A7">
        <w:t xml:space="preserve">xpected </w:t>
      </w:r>
      <w:r w:rsidR="00E13D39">
        <w:t xml:space="preserve">e.i.r.p. </w:t>
      </w:r>
      <w:r w:rsidR="003763A7">
        <w:t xml:space="preserve">values defined in [2] are as presented in </w:t>
      </w:r>
      <w:r w:rsidR="00E13D39">
        <w:t>T</w:t>
      </w:r>
      <w:r w:rsidR="003763A7">
        <w:t xml:space="preserve">able 1. </w:t>
      </w:r>
    </w:p>
    <w:p w14:paraId="7308A703" w14:textId="77777777" w:rsidR="002B5C89" w:rsidRDefault="002B5C89" w:rsidP="00863EAF"/>
    <w:p w14:paraId="64ABD7E4" w14:textId="31EE8C45" w:rsidR="003763A7" w:rsidRPr="003763A7" w:rsidRDefault="003763A7" w:rsidP="003763A7">
      <w:pPr>
        <w:jc w:val="center"/>
        <w:rPr>
          <w:b/>
          <w:bCs/>
        </w:rPr>
      </w:pPr>
      <w:r w:rsidRPr="003763A7">
        <w:rPr>
          <w:b/>
          <w:bCs/>
        </w:rPr>
        <w:t>Table 1. Expected e.i.r.p</w:t>
      </w:r>
      <w:r>
        <w:rPr>
          <w:b/>
          <w:bCs/>
        </w:rPr>
        <w:t>.</w:t>
      </w:r>
      <w:r w:rsidRPr="003763A7">
        <w:rPr>
          <w:b/>
          <w:bCs/>
        </w:rPr>
        <w:t xml:space="preserve"> values for vertical angle range defined in ITU Resolution 220 [2]</w:t>
      </w:r>
    </w:p>
    <w:tbl>
      <w:tblPr>
        <w:tblW w:w="86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2"/>
        <w:gridCol w:w="3969"/>
      </w:tblGrid>
      <w:tr w:rsidR="002B5C89" w:rsidRPr="002B5C89" w14:paraId="0557F3E0" w14:textId="77777777" w:rsidTr="002B5C89">
        <w:trPr>
          <w:trHeight w:val="758"/>
        </w:trPr>
        <w:tc>
          <w:tcPr>
            <w:tcW w:w="4672" w:type="dxa"/>
            <w:hideMark/>
          </w:tcPr>
          <w:p w14:paraId="737E3113" w14:textId="63536762" w:rsidR="002B5C89" w:rsidRPr="002B5C89" w:rsidRDefault="002B5C89" w:rsidP="002B5C89">
            <w:pPr>
              <w:tabs>
                <w:tab w:val="left" w:pos="3109"/>
              </w:tabs>
              <w:kinsoku w:val="0"/>
              <w:overflowPunct w:val="0"/>
              <w:autoSpaceDE w:val="0"/>
              <w:autoSpaceDN w:val="0"/>
              <w:adjustRightInd w:val="0"/>
              <w:spacing w:after="0" w:line="235" w:lineRule="auto"/>
              <w:ind w:left="2259" w:right="1529" w:hanging="1843"/>
              <w:jc w:val="center"/>
              <w:rPr>
                <w:rFonts w:eastAsia="Calibri" w:cs="Times New Roman"/>
                <w:b/>
                <w:bCs/>
                <w:i/>
                <w:iCs/>
                <w:sz w:val="13"/>
                <w:szCs w:val="13"/>
                <w:lang w:val="en-NZ"/>
                <w14:ligatures w14:val="standardContextual"/>
              </w:rPr>
            </w:pPr>
            <w:r w:rsidRPr="002B5C89">
              <w:rPr>
                <w:rFonts w:eastAsia="Calibri" w:cs="Times New Roman"/>
                <w:b/>
                <w:bCs/>
                <w:szCs w:val="20"/>
                <w:lang w:val="en-NZ"/>
                <w14:ligatures w14:val="standardContextual"/>
              </w:rPr>
              <w:t>Vertical</w:t>
            </w:r>
            <w:r w:rsidRPr="002B5C89">
              <w:rPr>
                <w:rFonts w:eastAsia="Calibri" w:cs="Times New Roman"/>
                <w:b/>
                <w:bCs/>
                <w:spacing w:val="-13"/>
                <w:szCs w:val="20"/>
                <w:lang w:val="en-NZ"/>
                <w14:ligatures w14:val="standardContextual"/>
              </w:rPr>
              <w:t xml:space="preserve"> </w:t>
            </w:r>
            <w:r w:rsidRPr="002B5C89">
              <w:rPr>
                <w:rFonts w:eastAsia="Calibri" w:cs="Times New Roman"/>
                <w:b/>
                <w:bCs/>
                <w:szCs w:val="20"/>
                <w:lang w:val="en-NZ"/>
                <w14:ligatures w14:val="standardContextual"/>
              </w:rPr>
              <w:t>angle</w:t>
            </w:r>
            <w:r w:rsidRPr="002B5C89">
              <w:rPr>
                <w:rFonts w:eastAsia="Calibri" w:cs="Times New Roman"/>
                <w:b/>
                <w:bCs/>
                <w:spacing w:val="-12"/>
                <w:szCs w:val="20"/>
                <w:lang w:val="en-NZ"/>
                <w14:ligatures w14:val="standardContextual"/>
              </w:rPr>
              <w:t xml:space="preserve"> </w:t>
            </w:r>
            <w:r w:rsidRPr="002B5C89">
              <w:rPr>
                <w:rFonts w:eastAsia="Calibri" w:cs="Times New Roman"/>
                <w:b/>
                <w:bCs/>
                <w:szCs w:val="20"/>
                <w:lang w:val="en-NZ"/>
                <w14:ligatures w14:val="standardContextual"/>
              </w:rPr>
              <w:t xml:space="preserve">range </w:t>
            </w:r>
            <w:r w:rsidRPr="002B5C89">
              <w:rPr>
                <w:rFonts w:eastAsia="Calibri" w:cs="Times New Roman"/>
                <w:b/>
                <w:bCs/>
                <w:position w:val="2"/>
                <w:szCs w:val="20"/>
                <w:lang w:val="en-NZ"/>
                <w14:ligatures w14:val="standardContextual"/>
              </w:rPr>
              <w:t>θ</w:t>
            </w:r>
            <w:r w:rsidRPr="002B5C89">
              <w:rPr>
                <w:rFonts w:eastAsia="Calibri" w:cs="Times New Roman"/>
                <w:b/>
                <w:bCs/>
                <w:i/>
                <w:iCs/>
                <w:sz w:val="13"/>
                <w:szCs w:val="13"/>
                <w:lang w:val="en-NZ"/>
                <w14:ligatures w14:val="standardContextual"/>
              </w:rPr>
              <w:t>L</w:t>
            </w:r>
            <w:r w:rsidRPr="002B5C89">
              <w:rPr>
                <w:rFonts w:eastAsia="Calibri" w:cs="Times New Roman"/>
                <w:b/>
                <w:bCs/>
                <w:i/>
                <w:iCs/>
                <w:spacing w:val="40"/>
                <w:sz w:val="13"/>
                <w:szCs w:val="13"/>
                <w:lang w:val="en-NZ"/>
                <w14:ligatures w14:val="standardContextual"/>
              </w:rPr>
              <w:t xml:space="preserve"> </w:t>
            </w:r>
            <w:r w:rsidRPr="002B5C89">
              <w:rPr>
                <w:rFonts w:eastAsia="Calibri" w:cs="Times New Roman"/>
                <w:b/>
                <w:bCs/>
                <w:position w:val="2"/>
                <w:szCs w:val="20"/>
                <w:lang w:val="en-NZ"/>
                <w14:ligatures w14:val="standardContextual"/>
              </w:rPr>
              <w:t>≤ θ &lt;</w:t>
            </w:r>
            <w:r>
              <w:rPr>
                <w:rFonts w:eastAsia="Calibri" w:cs="Times New Roman"/>
                <w:b/>
                <w:bCs/>
                <w:position w:val="2"/>
                <w:szCs w:val="20"/>
                <w:lang w:val="en-NZ"/>
                <w14:ligatures w14:val="standardContextual"/>
              </w:rPr>
              <w:t xml:space="preserve"> </w:t>
            </w:r>
            <w:r w:rsidRPr="002B5C89">
              <w:rPr>
                <w:rFonts w:eastAsia="Calibri" w:cs="Times New Roman"/>
                <w:b/>
                <w:bCs/>
                <w:position w:val="2"/>
                <w:szCs w:val="20"/>
                <w:lang w:val="en-NZ"/>
                <w14:ligatures w14:val="standardContextual"/>
              </w:rPr>
              <w:t>θ</w:t>
            </w:r>
            <w:r w:rsidRPr="002B5C89">
              <w:rPr>
                <w:rFonts w:eastAsia="Calibri" w:cs="Times New Roman"/>
                <w:b/>
                <w:bCs/>
                <w:i/>
                <w:iCs/>
                <w:sz w:val="13"/>
                <w:szCs w:val="13"/>
                <w:lang w:val="en-NZ"/>
                <w14:ligatures w14:val="standardContextual"/>
              </w:rPr>
              <w:t>H</w:t>
            </w:r>
          </w:p>
          <w:p w14:paraId="4B2D9745" w14:textId="77777777" w:rsidR="002B5C89" w:rsidRPr="002B5C89" w:rsidRDefault="002B5C89" w:rsidP="002B5C89">
            <w:pPr>
              <w:kinsoku w:val="0"/>
              <w:overflowPunct w:val="0"/>
              <w:autoSpaceDE w:val="0"/>
              <w:autoSpaceDN w:val="0"/>
              <w:adjustRightInd w:val="0"/>
              <w:spacing w:after="0" w:line="226" w:lineRule="exact"/>
              <w:ind w:right="847"/>
              <w:rPr>
                <w:rFonts w:eastAsia="Calibri" w:cs="Times New Roman"/>
                <w:szCs w:val="20"/>
                <w:lang w:val="en-NZ"/>
                <w14:ligatures w14:val="standardContextual"/>
              </w:rPr>
            </w:pPr>
            <w:r w:rsidRPr="002B5C89">
              <w:rPr>
                <w:rFonts w:eastAsia="Calibri" w:cs="Times New Roman"/>
                <w:b/>
                <w:bCs/>
                <w:szCs w:val="20"/>
                <w:lang w:val="en-NZ"/>
                <w14:ligatures w14:val="standardContextual"/>
              </w:rPr>
              <w:t>(vertical angle θ above horizon)</w:t>
            </w:r>
          </w:p>
        </w:tc>
        <w:tc>
          <w:tcPr>
            <w:tcW w:w="3969" w:type="dxa"/>
            <w:hideMark/>
          </w:tcPr>
          <w:p w14:paraId="2F11052A" w14:textId="77777777" w:rsidR="002B5C89" w:rsidRPr="002B5C89" w:rsidRDefault="002B5C89" w:rsidP="002B5C89">
            <w:pPr>
              <w:kinsoku w:val="0"/>
              <w:overflowPunct w:val="0"/>
              <w:autoSpaceDE w:val="0"/>
              <w:autoSpaceDN w:val="0"/>
              <w:adjustRightInd w:val="0"/>
              <w:spacing w:after="0" w:line="235" w:lineRule="auto"/>
              <w:ind w:left="1049" w:right="29" w:hanging="903"/>
              <w:jc w:val="center"/>
              <w:rPr>
                <w:rFonts w:eastAsia="Calibri" w:cs="Times New Roman"/>
                <w:b/>
                <w:bCs/>
                <w:spacing w:val="-2"/>
                <w:szCs w:val="20"/>
                <w:lang w:val="en-NZ"/>
                <w14:ligatures w14:val="standardContextual"/>
              </w:rPr>
            </w:pPr>
            <w:r w:rsidRPr="002B5C89">
              <w:rPr>
                <w:rFonts w:eastAsia="Calibri" w:cs="Times New Roman"/>
                <w:b/>
                <w:bCs/>
                <w:szCs w:val="20"/>
                <w:lang w:val="en-NZ"/>
                <w14:ligatures w14:val="standardContextual"/>
              </w:rPr>
              <w:t>Expected</w:t>
            </w:r>
            <w:r w:rsidRPr="002B5C89">
              <w:rPr>
                <w:rFonts w:eastAsia="Calibri" w:cs="Times New Roman"/>
                <w:b/>
                <w:bCs/>
                <w:spacing w:val="-13"/>
                <w:szCs w:val="20"/>
                <w:lang w:val="en-NZ"/>
                <w14:ligatures w14:val="standardContextual"/>
              </w:rPr>
              <w:t xml:space="preserve"> </w:t>
            </w:r>
            <w:r w:rsidRPr="002B5C89">
              <w:rPr>
                <w:rFonts w:eastAsia="Calibri" w:cs="Times New Roman"/>
                <w:b/>
                <w:bCs/>
                <w:szCs w:val="20"/>
                <w:lang w:val="en-NZ"/>
                <w14:ligatures w14:val="standardContextual"/>
              </w:rPr>
              <w:t xml:space="preserve">e.i.r.p. </w:t>
            </w:r>
            <w:r w:rsidRPr="002B5C89">
              <w:rPr>
                <w:rFonts w:eastAsia="Calibri" w:cs="Times New Roman"/>
                <w:b/>
                <w:bCs/>
                <w:spacing w:val="-2"/>
                <w:szCs w:val="20"/>
                <w:lang w:val="en-NZ"/>
                <w14:ligatures w14:val="standardContextual"/>
              </w:rPr>
              <w:t>(dBm/MHz)</w:t>
            </w:r>
          </w:p>
          <w:p w14:paraId="3AFFE098" w14:textId="77777777" w:rsidR="002B5C89" w:rsidRPr="002B5C89" w:rsidRDefault="002B5C89" w:rsidP="002B5C89">
            <w:pPr>
              <w:kinsoku w:val="0"/>
              <w:overflowPunct w:val="0"/>
              <w:autoSpaceDE w:val="0"/>
              <w:autoSpaceDN w:val="0"/>
              <w:adjustRightInd w:val="0"/>
              <w:spacing w:after="0" w:line="240" w:lineRule="auto"/>
              <w:ind w:left="1049" w:right="30" w:hanging="903"/>
              <w:jc w:val="center"/>
              <w:rPr>
                <w:rFonts w:eastAsia="Calibri" w:cs="Times New Roman"/>
                <w:b/>
                <w:bCs/>
                <w:szCs w:val="20"/>
                <w:lang w:val="en-NZ"/>
                <w14:ligatures w14:val="standardContextual"/>
              </w:rPr>
            </w:pPr>
            <w:r w:rsidRPr="002B5C89">
              <w:rPr>
                <w:rFonts w:eastAsia="Calibri" w:cs="Times New Roman"/>
                <w:b/>
                <w:bCs/>
                <w:szCs w:val="20"/>
                <w:lang w:val="en-NZ"/>
                <w14:ligatures w14:val="standardContextual"/>
              </w:rPr>
              <w:t>(See NOTES 1, 2 and 3)</w:t>
            </w:r>
          </w:p>
        </w:tc>
      </w:tr>
      <w:tr w:rsidR="002B5C89" w:rsidRPr="002B5C89" w14:paraId="009ED536" w14:textId="77777777" w:rsidTr="002B5C89">
        <w:trPr>
          <w:trHeight w:val="384"/>
        </w:trPr>
        <w:tc>
          <w:tcPr>
            <w:tcW w:w="4672" w:type="dxa"/>
            <w:hideMark/>
          </w:tcPr>
          <w:p w14:paraId="1A3384E3" w14:textId="77777777" w:rsidR="002B5C89" w:rsidRPr="002B5C89" w:rsidRDefault="002B5C89" w:rsidP="002B5C89">
            <w:pPr>
              <w:kinsoku w:val="0"/>
              <w:overflowPunct w:val="0"/>
              <w:autoSpaceDE w:val="0"/>
              <w:autoSpaceDN w:val="0"/>
              <w:adjustRightInd w:val="0"/>
              <w:spacing w:before="79" w:after="0" w:line="240" w:lineRule="auto"/>
              <w:ind w:left="1058" w:right="1045"/>
              <w:jc w:val="center"/>
              <w:rPr>
                <w:rFonts w:ascii="Symbol" w:eastAsia="Calibri" w:hAnsi="Symbol" w:cs="Symbol"/>
                <w:szCs w:val="20"/>
                <w:lang w:val="en-NZ"/>
                <w14:ligatures w14:val="standardContextual"/>
              </w:rPr>
            </w:pPr>
            <w:r w:rsidRPr="002B5C89">
              <w:rPr>
                <w:rFonts w:eastAsia="Calibri" w:cs="Times New Roman"/>
                <w:szCs w:val="20"/>
                <w:lang w:val="en-NZ"/>
                <w14:ligatures w14:val="standardContextual"/>
              </w:rPr>
              <w:t>0</w:t>
            </w:r>
            <w:r w:rsidRPr="002B5C89">
              <w:rPr>
                <w:rFonts w:ascii="Symbol" w:eastAsia="Calibri" w:hAnsi="Symbol" w:cs="Symbol"/>
                <w:szCs w:val="20"/>
                <w:lang w:val="en-NZ"/>
                <w14:ligatures w14:val="standardContextual"/>
              </w:rPr>
              <w:t>°</w:t>
            </w:r>
            <w:r w:rsidRPr="002B5C89">
              <w:rPr>
                <w:rFonts w:eastAsia="Calibri" w:cs="Times New Roman"/>
                <w:szCs w:val="20"/>
                <w:lang w:val="en-NZ"/>
                <w14:ligatures w14:val="standardContextual"/>
              </w:rPr>
              <w:t xml:space="preserve"> ≤ θ &lt; 5</w:t>
            </w:r>
            <w:r w:rsidRPr="002B5C89">
              <w:rPr>
                <w:rFonts w:ascii="Symbol" w:eastAsia="Calibri" w:hAnsi="Symbol" w:cs="Symbol"/>
                <w:szCs w:val="20"/>
                <w:lang w:val="en-NZ"/>
                <w14:ligatures w14:val="standardContextual"/>
              </w:rPr>
              <w:t>°</w:t>
            </w:r>
          </w:p>
        </w:tc>
        <w:tc>
          <w:tcPr>
            <w:tcW w:w="3969" w:type="dxa"/>
            <w:hideMark/>
          </w:tcPr>
          <w:p w14:paraId="457DA7E5" w14:textId="77777777" w:rsidR="002B5C89" w:rsidRPr="002B5C89" w:rsidRDefault="002B5C89" w:rsidP="0005688A">
            <w:pPr>
              <w:kinsoku w:val="0"/>
              <w:overflowPunct w:val="0"/>
              <w:autoSpaceDE w:val="0"/>
              <w:autoSpaceDN w:val="0"/>
              <w:adjustRightInd w:val="0"/>
              <w:spacing w:before="86" w:after="0" w:line="240" w:lineRule="auto"/>
              <w:ind w:right="1836"/>
              <w:jc w:val="right"/>
              <w:rPr>
                <w:rFonts w:eastAsia="Calibri" w:cs="Times New Roman"/>
                <w:spacing w:val="-6"/>
                <w:szCs w:val="20"/>
                <w:lang w:val="en-NZ"/>
                <w14:ligatures w14:val="standardContextual"/>
              </w:rPr>
            </w:pPr>
            <w:r w:rsidRPr="002B5C89">
              <w:rPr>
                <w:rFonts w:eastAsia="Calibri" w:cs="Times New Roman"/>
                <w:spacing w:val="-6"/>
                <w:szCs w:val="20"/>
                <w:lang w:val="en-NZ"/>
                <w14:ligatures w14:val="standardContextual"/>
              </w:rPr>
              <w:t>27</w:t>
            </w:r>
          </w:p>
        </w:tc>
      </w:tr>
      <w:tr w:rsidR="002B5C89" w:rsidRPr="002B5C89" w14:paraId="14CE42FE" w14:textId="77777777" w:rsidTr="002B5C89">
        <w:trPr>
          <w:trHeight w:val="364"/>
        </w:trPr>
        <w:tc>
          <w:tcPr>
            <w:tcW w:w="4672" w:type="dxa"/>
            <w:hideMark/>
          </w:tcPr>
          <w:p w14:paraId="68662400" w14:textId="77777777" w:rsidR="002B5C89" w:rsidRPr="002B5C89" w:rsidRDefault="002B5C89" w:rsidP="002B5C89">
            <w:pPr>
              <w:kinsoku w:val="0"/>
              <w:overflowPunct w:val="0"/>
              <w:autoSpaceDE w:val="0"/>
              <w:autoSpaceDN w:val="0"/>
              <w:adjustRightInd w:val="0"/>
              <w:spacing w:before="59" w:after="0" w:line="240" w:lineRule="auto"/>
              <w:ind w:left="1058" w:right="1048"/>
              <w:jc w:val="center"/>
              <w:rPr>
                <w:rFonts w:ascii="Symbol" w:eastAsia="Calibri" w:hAnsi="Symbol" w:cs="Symbol"/>
                <w:szCs w:val="20"/>
                <w:lang w:val="en-NZ"/>
                <w14:ligatures w14:val="standardContextual"/>
              </w:rPr>
            </w:pPr>
            <w:r w:rsidRPr="002B5C89">
              <w:rPr>
                <w:rFonts w:eastAsia="Calibri" w:cs="Times New Roman"/>
                <w:szCs w:val="20"/>
                <w:lang w:val="en-NZ"/>
                <w14:ligatures w14:val="standardContextual"/>
              </w:rPr>
              <w:t>5</w:t>
            </w:r>
            <w:r w:rsidRPr="002B5C89">
              <w:rPr>
                <w:rFonts w:ascii="Symbol" w:eastAsia="Calibri" w:hAnsi="Symbol" w:cs="Symbol"/>
                <w:szCs w:val="20"/>
                <w:lang w:val="en-NZ"/>
                <w14:ligatures w14:val="standardContextual"/>
              </w:rPr>
              <w:t>°</w:t>
            </w:r>
            <w:r w:rsidRPr="002B5C89">
              <w:rPr>
                <w:rFonts w:eastAsia="Calibri" w:cs="Times New Roman"/>
                <w:szCs w:val="20"/>
                <w:lang w:val="en-NZ"/>
                <w14:ligatures w14:val="standardContextual"/>
              </w:rPr>
              <w:t xml:space="preserve"> ≤ θ &lt; 10</w:t>
            </w:r>
            <w:r w:rsidRPr="002B5C89">
              <w:rPr>
                <w:rFonts w:ascii="Symbol" w:eastAsia="Calibri" w:hAnsi="Symbol" w:cs="Symbol"/>
                <w:szCs w:val="20"/>
                <w:lang w:val="en-NZ"/>
                <w14:ligatures w14:val="standardContextual"/>
              </w:rPr>
              <w:t>°</w:t>
            </w:r>
          </w:p>
        </w:tc>
        <w:tc>
          <w:tcPr>
            <w:tcW w:w="3969" w:type="dxa"/>
            <w:hideMark/>
          </w:tcPr>
          <w:p w14:paraId="317FF45C" w14:textId="77777777" w:rsidR="002B5C89" w:rsidRPr="002B5C89" w:rsidRDefault="002B5C89" w:rsidP="0005688A">
            <w:pPr>
              <w:kinsoku w:val="0"/>
              <w:overflowPunct w:val="0"/>
              <w:autoSpaceDE w:val="0"/>
              <w:autoSpaceDN w:val="0"/>
              <w:adjustRightInd w:val="0"/>
              <w:spacing w:before="66" w:after="0" w:line="240" w:lineRule="auto"/>
              <w:ind w:right="1836"/>
              <w:jc w:val="right"/>
              <w:rPr>
                <w:rFonts w:eastAsia="Calibri" w:cs="Times New Roman"/>
                <w:spacing w:val="-6"/>
                <w:szCs w:val="20"/>
                <w:lang w:val="en-NZ"/>
                <w14:ligatures w14:val="standardContextual"/>
              </w:rPr>
            </w:pPr>
            <w:r w:rsidRPr="002B5C89">
              <w:rPr>
                <w:rFonts w:eastAsia="Calibri" w:cs="Times New Roman"/>
                <w:spacing w:val="-6"/>
                <w:szCs w:val="20"/>
                <w:lang w:val="en-NZ"/>
                <w14:ligatures w14:val="standardContextual"/>
              </w:rPr>
              <w:t>23</w:t>
            </w:r>
          </w:p>
        </w:tc>
      </w:tr>
      <w:tr w:rsidR="002B5C89" w:rsidRPr="002B5C89" w14:paraId="0A1C1C5B" w14:textId="77777777" w:rsidTr="002B5C89">
        <w:trPr>
          <w:trHeight w:val="364"/>
        </w:trPr>
        <w:tc>
          <w:tcPr>
            <w:tcW w:w="4672" w:type="dxa"/>
            <w:hideMark/>
          </w:tcPr>
          <w:p w14:paraId="47ECCE62" w14:textId="77777777" w:rsidR="002B5C89" w:rsidRPr="002B5C89" w:rsidRDefault="002B5C89" w:rsidP="002B5C89">
            <w:pPr>
              <w:kinsoku w:val="0"/>
              <w:overflowPunct w:val="0"/>
              <w:autoSpaceDE w:val="0"/>
              <w:autoSpaceDN w:val="0"/>
              <w:adjustRightInd w:val="0"/>
              <w:spacing w:before="59" w:after="0" w:line="240" w:lineRule="auto"/>
              <w:ind w:left="1057" w:right="1049"/>
              <w:jc w:val="center"/>
              <w:rPr>
                <w:rFonts w:ascii="Symbol" w:eastAsia="Calibri" w:hAnsi="Symbol" w:cs="Symbol"/>
                <w:szCs w:val="20"/>
                <w:lang w:val="en-NZ"/>
                <w14:ligatures w14:val="standardContextual"/>
              </w:rPr>
            </w:pPr>
            <w:r w:rsidRPr="002B5C89">
              <w:rPr>
                <w:rFonts w:eastAsia="Calibri" w:cs="Times New Roman"/>
                <w:szCs w:val="20"/>
                <w:lang w:val="en-NZ"/>
                <w14:ligatures w14:val="standardContextual"/>
              </w:rPr>
              <w:lastRenderedPageBreak/>
              <w:t>10</w:t>
            </w:r>
            <w:r w:rsidRPr="002B5C89">
              <w:rPr>
                <w:rFonts w:ascii="Symbol" w:eastAsia="Calibri" w:hAnsi="Symbol" w:cs="Symbol"/>
                <w:szCs w:val="20"/>
                <w:lang w:val="en-NZ"/>
                <w14:ligatures w14:val="standardContextual"/>
              </w:rPr>
              <w:t>°</w:t>
            </w:r>
            <w:r w:rsidRPr="002B5C89">
              <w:rPr>
                <w:rFonts w:eastAsia="Calibri" w:cs="Times New Roman"/>
                <w:szCs w:val="20"/>
                <w:lang w:val="en-NZ"/>
                <w14:ligatures w14:val="standardContextual"/>
              </w:rPr>
              <w:t>≤ θ &lt; 15</w:t>
            </w:r>
            <w:r w:rsidRPr="002B5C89">
              <w:rPr>
                <w:rFonts w:ascii="Symbol" w:eastAsia="Calibri" w:hAnsi="Symbol" w:cs="Symbol"/>
                <w:szCs w:val="20"/>
                <w:lang w:val="en-NZ"/>
                <w14:ligatures w14:val="standardContextual"/>
              </w:rPr>
              <w:t>°</w:t>
            </w:r>
          </w:p>
        </w:tc>
        <w:tc>
          <w:tcPr>
            <w:tcW w:w="3969" w:type="dxa"/>
            <w:hideMark/>
          </w:tcPr>
          <w:p w14:paraId="62B663B6" w14:textId="77777777" w:rsidR="002B5C89" w:rsidRPr="002B5C89" w:rsidRDefault="002B5C89" w:rsidP="0005688A">
            <w:pPr>
              <w:kinsoku w:val="0"/>
              <w:overflowPunct w:val="0"/>
              <w:autoSpaceDE w:val="0"/>
              <w:autoSpaceDN w:val="0"/>
              <w:adjustRightInd w:val="0"/>
              <w:spacing w:before="66" w:after="0" w:line="240" w:lineRule="auto"/>
              <w:ind w:right="1836"/>
              <w:jc w:val="right"/>
              <w:rPr>
                <w:rFonts w:eastAsia="Calibri" w:cs="Times New Roman"/>
                <w:spacing w:val="-6"/>
                <w:szCs w:val="20"/>
                <w:lang w:val="en-NZ"/>
                <w14:ligatures w14:val="standardContextual"/>
              </w:rPr>
            </w:pPr>
            <w:r w:rsidRPr="002B5C89">
              <w:rPr>
                <w:rFonts w:eastAsia="Calibri" w:cs="Times New Roman"/>
                <w:spacing w:val="-6"/>
                <w:szCs w:val="20"/>
                <w:lang w:val="en-NZ"/>
                <w14:ligatures w14:val="standardContextual"/>
              </w:rPr>
              <w:t>19</w:t>
            </w:r>
          </w:p>
        </w:tc>
      </w:tr>
      <w:tr w:rsidR="002B5C89" w:rsidRPr="002B5C89" w14:paraId="500EA50F" w14:textId="77777777" w:rsidTr="002B5C89">
        <w:trPr>
          <w:trHeight w:val="364"/>
        </w:trPr>
        <w:tc>
          <w:tcPr>
            <w:tcW w:w="4672" w:type="dxa"/>
            <w:hideMark/>
          </w:tcPr>
          <w:p w14:paraId="73787D5D" w14:textId="77777777" w:rsidR="002B5C89" w:rsidRPr="002B5C89" w:rsidRDefault="002B5C89" w:rsidP="002B5C89">
            <w:pPr>
              <w:kinsoku w:val="0"/>
              <w:overflowPunct w:val="0"/>
              <w:autoSpaceDE w:val="0"/>
              <w:autoSpaceDN w:val="0"/>
              <w:adjustRightInd w:val="0"/>
              <w:spacing w:before="59" w:after="0" w:line="240" w:lineRule="auto"/>
              <w:ind w:left="1057" w:right="1049"/>
              <w:jc w:val="center"/>
              <w:rPr>
                <w:rFonts w:ascii="Symbol" w:eastAsia="Calibri" w:hAnsi="Symbol" w:cs="Symbol"/>
                <w:szCs w:val="20"/>
                <w:lang w:val="en-NZ"/>
                <w14:ligatures w14:val="standardContextual"/>
              </w:rPr>
            </w:pPr>
            <w:r w:rsidRPr="002B5C89">
              <w:rPr>
                <w:rFonts w:eastAsia="Calibri" w:cs="Times New Roman"/>
                <w:szCs w:val="20"/>
                <w:lang w:val="en-NZ"/>
                <w14:ligatures w14:val="standardContextual"/>
              </w:rPr>
              <w:t>15</w:t>
            </w:r>
            <w:r w:rsidRPr="002B5C89">
              <w:rPr>
                <w:rFonts w:ascii="Symbol" w:eastAsia="Calibri" w:hAnsi="Symbol" w:cs="Symbol"/>
                <w:szCs w:val="20"/>
                <w:lang w:val="en-NZ"/>
                <w14:ligatures w14:val="standardContextual"/>
              </w:rPr>
              <w:t>°</w:t>
            </w:r>
            <w:r w:rsidRPr="002B5C89">
              <w:rPr>
                <w:rFonts w:eastAsia="Calibri" w:cs="Times New Roman"/>
                <w:szCs w:val="20"/>
                <w:lang w:val="en-NZ"/>
                <w14:ligatures w14:val="standardContextual"/>
              </w:rPr>
              <w:t>≤ θ &lt; 20</w:t>
            </w:r>
            <w:r w:rsidRPr="002B5C89">
              <w:rPr>
                <w:rFonts w:ascii="Symbol" w:eastAsia="Calibri" w:hAnsi="Symbol" w:cs="Symbol"/>
                <w:szCs w:val="20"/>
                <w:lang w:val="en-NZ"/>
                <w14:ligatures w14:val="standardContextual"/>
              </w:rPr>
              <w:t>°</w:t>
            </w:r>
          </w:p>
        </w:tc>
        <w:tc>
          <w:tcPr>
            <w:tcW w:w="3969" w:type="dxa"/>
            <w:hideMark/>
          </w:tcPr>
          <w:p w14:paraId="706E3C5D" w14:textId="77777777" w:rsidR="002B5C89" w:rsidRPr="002B5C89" w:rsidRDefault="002B5C89" w:rsidP="0005688A">
            <w:pPr>
              <w:kinsoku w:val="0"/>
              <w:overflowPunct w:val="0"/>
              <w:autoSpaceDE w:val="0"/>
              <w:autoSpaceDN w:val="0"/>
              <w:adjustRightInd w:val="0"/>
              <w:spacing w:before="66" w:after="0" w:line="240" w:lineRule="auto"/>
              <w:ind w:right="1836"/>
              <w:jc w:val="right"/>
              <w:rPr>
                <w:rFonts w:eastAsia="Calibri" w:cs="Times New Roman"/>
                <w:spacing w:val="-6"/>
                <w:szCs w:val="20"/>
                <w:lang w:val="en-NZ"/>
                <w14:ligatures w14:val="standardContextual"/>
              </w:rPr>
            </w:pPr>
            <w:r w:rsidRPr="002B5C89">
              <w:rPr>
                <w:rFonts w:eastAsia="Calibri" w:cs="Times New Roman"/>
                <w:spacing w:val="-6"/>
                <w:szCs w:val="20"/>
                <w:lang w:val="en-NZ"/>
                <w14:ligatures w14:val="standardContextual"/>
              </w:rPr>
              <w:t>18</w:t>
            </w:r>
          </w:p>
        </w:tc>
      </w:tr>
      <w:tr w:rsidR="002B5C89" w:rsidRPr="002B5C89" w14:paraId="33EA1B63" w14:textId="77777777" w:rsidTr="002B5C89">
        <w:trPr>
          <w:trHeight w:val="364"/>
        </w:trPr>
        <w:tc>
          <w:tcPr>
            <w:tcW w:w="4672" w:type="dxa"/>
            <w:hideMark/>
          </w:tcPr>
          <w:p w14:paraId="5CDF123B" w14:textId="77777777" w:rsidR="002B5C89" w:rsidRPr="002B5C89" w:rsidRDefault="002B5C89" w:rsidP="002B5C89">
            <w:pPr>
              <w:kinsoku w:val="0"/>
              <w:overflowPunct w:val="0"/>
              <w:autoSpaceDE w:val="0"/>
              <w:autoSpaceDN w:val="0"/>
              <w:adjustRightInd w:val="0"/>
              <w:spacing w:before="59" w:after="0" w:line="240" w:lineRule="auto"/>
              <w:ind w:left="1058" w:right="1048"/>
              <w:jc w:val="center"/>
              <w:rPr>
                <w:rFonts w:ascii="Symbol" w:eastAsia="Calibri" w:hAnsi="Symbol" w:cs="Symbol"/>
                <w:szCs w:val="20"/>
                <w:lang w:val="en-NZ"/>
                <w14:ligatures w14:val="standardContextual"/>
              </w:rPr>
            </w:pPr>
            <w:r w:rsidRPr="002B5C89">
              <w:rPr>
                <w:rFonts w:eastAsia="Calibri" w:cs="Times New Roman"/>
                <w:szCs w:val="20"/>
                <w:lang w:val="en-NZ"/>
                <w14:ligatures w14:val="standardContextual"/>
              </w:rPr>
              <w:t>20</w:t>
            </w:r>
            <w:r w:rsidRPr="002B5C89">
              <w:rPr>
                <w:rFonts w:ascii="Symbol" w:eastAsia="Calibri" w:hAnsi="Symbol" w:cs="Symbol"/>
                <w:szCs w:val="20"/>
                <w:lang w:val="en-NZ"/>
                <w14:ligatures w14:val="standardContextual"/>
              </w:rPr>
              <w:t>°</w:t>
            </w:r>
            <w:r w:rsidRPr="002B5C89">
              <w:rPr>
                <w:rFonts w:eastAsia="Calibri" w:cs="Times New Roman"/>
                <w:szCs w:val="20"/>
                <w:lang w:val="en-NZ"/>
                <w14:ligatures w14:val="standardContextual"/>
              </w:rPr>
              <w:t>≤ θ &lt;30</w:t>
            </w:r>
            <w:r w:rsidRPr="002B5C89">
              <w:rPr>
                <w:rFonts w:ascii="Symbol" w:eastAsia="Calibri" w:hAnsi="Symbol" w:cs="Symbol"/>
                <w:szCs w:val="20"/>
                <w:lang w:val="en-NZ"/>
                <w14:ligatures w14:val="standardContextual"/>
              </w:rPr>
              <w:t>°</w:t>
            </w:r>
          </w:p>
        </w:tc>
        <w:tc>
          <w:tcPr>
            <w:tcW w:w="3969" w:type="dxa"/>
            <w:hideMark/>
          </w:tcPr>
          <w:p w14:paraId="74CB3CD8" w14:textId="77777777" w:rsidR="002B5C89" w:rsidRPr="002B5C89" w:rsidRDefault="002B5C89" w:rsidP="0005688A">
            <w:pPr>
              <w:kinsoku w:val="0"/>
              <w:overflowPunct w:val="0"/>
              <w:autoSpaceDE w:val="0"/>
              <w:autoSpaceDN w:val="0"/>
              <w:adjustRightInd w:val="0"/>
              <w:spacing w:before="66" w:after="0" w:line="240" w:lineRule="auto"/>
              <w:ind w:right="1836"/>
              <w:jc w:val="right"/>
              <w:rPr>
                <w:rFonts w:eastAsia="Calibri" w:cs="Times New Roman"/>
                <w:spacing w:val="-6"/>
                <w:szCs w:val="20"/>
                <w:lang w:val="en-NZ"/>
                <w14:ligatures w14:val="standardContextual"/>
              </w:rPr>
            </w:pPr>
            <w:r w:rsidRPr="002B5C89">
              <w:rPr>
                <w:rFonts w:eastAsia="Calibri" w:cs="Times New Roman"/>
                <w:spacing w:val="-6"/>
                <w:szCs w:val="20"/>
                <w:lang w:val="en-NZ"/>
                <w14:ligatures w14:val="standardContextual"/>
              </w:rPr>
              <w:t>16</w:t>
            </w:r>
          </w:p>
        </w:tc>
      </w:tr>
      <w:tr w:rsidR="002B5C89" w:rsidRPr="002B5C89" w14:paraId="5450F17C" w14:textId="77777777" w:rsidTr="002B5C89">
        <w:trPr>
          <w:trHeight w:val="366"/>
        </w:trPr>
        <w:tc>
          <w:tcPr>
            <w:tcW w:w="4672" w:type="dxa"/>
            <w:hideMark/>
          </w:tcPr>
          <w:p w14:paraId="3729749D" w14:textId="77777777" w:rsidR="002B5C89" w:rsidRPr="002B5C89" w:rsidRDefault="002B5C89" w:rsidP="002B5C89">
            <w:pPr>
              <w:kinsoku w:val="0"/>
              <w:overflowPunct w:val="0"/>
              <w:autoSpaceDE w:val="0"/>
              <w:autoSpaceDN w:val="0"/>
              <w:adjustRightInd w:val="0"/>
              <w:spacing w:before="59" w:after="0" w:line="240" w:lineRule="auto"/>
              <w:ind w:left="1057" w:right="1049"/>
              <w:jc w:val="center"/>
              <w:rPr>
                <w:rFonts w:ascii="Symbol" w:eastAsia="Calibri" w:hAnsi="Symbol" w:cs="Symbol"/>
                <w:szCs w:val="20"/>
                <w:lang w:val="en-NZ"/>
                <w14:ligatures w14:val="standardContextual"/>
              </w:rPr>
            </w:pPr>
            <w:r w:rsidRPr="002B5C89">
              <w:rPr>
                <w:rFonts w:eastAsia="Calibri" w:cs="Times New Roman"/>
                <w:szCs w:val="20"/>
                <w:lang w:val="en-NZ"/>
                <w14:ligatures w14:val="standardContextual"/>
              </w:rPr>
              <w:t>30</w:t>
            </w:r>
            <w:r w:rsidRPr="002B5C89">
              <w:rPr>
                <w:rFonts w:ascii="Symbol" w:eastAsia="Calibri" w:hAnsi="Symbol" w:cs="Symbol"/>
                <w:szCs w:val="20"/>
                <w:lang w:val="en-NZ"/>
                <w14:ligatures w14:val="standardContextual"/>
              </w:rPr>
              <w:t>°</w:t>
            </w:r>
            <w:r w:rsidRPr="002B5C89">
              <w:rPr>
                <w:rFonts w:eastAsia="Calibri" w:cs="Times New Roman"/>
                <w:szCs w:val="20"/>
                <w:lang w:val="en-NZ"/>
                <w14:ligatures w14:val="standardContextual"/>
              </w:rPr>
              <w:t>≤ θ &lt; 60</w:t>
            </w:r>
            <w:r w:rsidRPr="002B5C89">
              <w:rPr>
                <w:rFonts w:ascii="Symbol" w:eastAsia="Calibri" w:hAnsi="Symbol" w:cs="Symbol"/>
                <w:szCs w:val="20"/>
                <w:lang w:val="en-NZ"/>
                <w14:ligatures w14:val="standardContextual"/>
              </w:rPr>
              <w:t>°</w:t>
            </w:r>
          </w:p>
        </w:tc>
        <w:tc>
          <w:tcPr>
            <w:tcW w:w="3969" w:type="dxa"/>
            <w:hideMark/>
          </w:tcPr>
          <w:p w14:paraId="4C6B8818" w14:textId="77777777" w:rsidR="002B5C89" w:rsidRPr="002B5C89" w:rsidRDefault="002B5C89" w:rsidP="0005688A">
            <w:pPr>
              <w:kinsoku w:val="0"/>
              <w:overflowPunct w:val="0"/>
              <w:autoSpaceDE w:val="0"/>
              <w:autoSpaceDN w:val="0"/>
              <w:adjustRightInd w:val="0"/>
              <w:spacing w:before="66" w:after="0" w:line="240" w:lineRule="auto"/>
              <w:ind w:right="1836"/>
              <w:jc w:val="right"/>
              <w:rPr>
                <w:rFonts w:eastAsia="Calibri" w:cs="Times New Roman"/>
                <w:spacing w:val="-6"/>
                <w:szCs w:val="20"/>
                <w:lang w:val="en-NZ"/>
                <w14:ligatures w14:val="standardContextual"/>
              </w:rPr>
            </w:pPr>
            <w:r w:rsidRPr="002B5C89">
              <w:rPr>
                <w:rFonts w:eastAsia="Calibri" w:cs="Times New Roman"/>
                <w:spacing w:val="-6"/>
                <w:szCs w:val="20"/>
                <w:lang w:val="en-NZ"/>
                <w14:ligatures w14:val="standardContextual"/>
              </w:rPr>
              <w:t>15</w:t>
            </w:r>
          </w:p>
        </w:tc>
      </w:tr>
      <w:tr w:rsidR="002B5C89" w:rsidRPr="002B5C89" w14:paraId="6F961670" w14:textId="77777777" w:rsidTr="002B5C89">
        <w:trPr>
          <w:trHeight w:val="350"/>
        </w:trPr>
        <w:tc>
          <w:tcPr>
            <w:tcW w:w="4672" w:type="dxa"/>
            <w:hideMark/>
          </w:tcPr>
          <w:p w14:paraId="404D0A0C" w14:textId="77777777" w:rsidR="002B5C89" w:rsidRPr="002B5C89" w:rsidRDefault="002B5C89" w:rsidP="002B5C89">
            <w:pPr>
              <w:kinsoku w:val="0"/>
              <w:overflowPunct w:val="0"/>
              <w:autoSpaceDE w:val="0"/>
              <w:autoSpaceDN w:val="0"/>
              <w:adjustRightInd w:val="0"/>
              <w:spacing w:before="60" w:after="0" w:line="240" w:lineRule="auto"/>
              <w:ind w:left="1058" w:right="1048"/>
              <w:jc w:val="center"/>
              <w:rPr>
                <w:rFonts w:ascii="Symbol" w:eastAsia="Calibri" w:hAnsi="Symbol" w:cs="Symbol"/>
                <w:szCs w:val="20"/>
                <w:lang w:val="en-NZ"/>
                <w14:ligatures w14:val="standardContextual"/>
              </w:rPr>
            </w:pPr>
            <w:r w:rsidRPr="002B5C89">
              <w:rPr>
                <w:rFonts w:eastAsia="Calibri" w:cs="Times New Roman"/>
                <w:szCs w:val="20"/>
                <w:lang w:val="en-NZ"/>
                <w14:ligatures w14:val="standardContextual"/>
              </w:rPr>
              <w:t>60</w:t>
            </w:r>
            <w:r w:rsidRPr="002B5C89">
              <w:rPr>
                <w:rFonts w:ascii="Symbol" w:eastAsia="Calibri" w:hAnsi="Symbol" w:cs="Symbol"/>
                <w:szCs w:val="20"/>
                <w:lang w:val="en-NZ"/>
                <w14:ligatures w14:val="standardContextual"/>
              </w:rPr>
              <w:t>°</w:t>
            </w:r>
            <w:r w:rsidRPr="002B5C89">
              <w:rPr>
                <w:rFonts w:eastAsia="Calibri" w:cs="Times New Roman"/>
                <w:szCs w:val="20"/>
                <w:lang w:val="en-NZ"/>
                <w14:ligatures w14:val="standardContextual"/>
              </w:rPr>
              <w:t>≤ θ ≤ 90</w:t>
            </w:r>
            <w:r w:rsidRPr="002B5C89">
              <w:rPr>
                <w:rFonts w:ascii="Symbol" w:eastAsia="Calibri" w:hAnsi="Symbol" w:cs="Symbol"/>
                <w:szCs w:val="20"/>
                <w:lang w:val="en-NZ"/>
                <w14:ligatures w14:val="standardContextual"/>
              </w:rPr>
              <w:t>°</w:t>
            </w:r>
          </w:p>
        </w:tc>
        <w:tc>
          <w:tcPr>
            <w:tcW w:w="3969" w:type="dxa"/>
            <w:hideMark/>
          </w:tcPr>
          <w:p w14:paraId="66874CB1" w14:textId="77777777" w:rsidR="002B5C89" w:rsidRPr="002B5C89" w:rsidRDefault="002B5C89" w:rsidP="0005688A">
            <w:pPr>
              <w:kinsoku w:val="0"/>
              <w:overflowPunct w:val="0"/>
              <w:autoSpaceDE w:val="0"/>
              <w:autoSpaceDN w:val="0"/>
              <w:adjustRightInd w:val="0"/>
              <w:spacing w:before="68" w:after="0" w:line="240" w:lineRule="auto"/>
              <w:ind w:right="1836"/>
              <w:jc w:val="right"/>
              <w:rPr>
                <w:rFonts w:eastAsia="Calibri" w:cs="Times New Roman"/>
                <w:spacing w:val="-6"/>
                <w:szCs w:val="20"/>
                <w:lang w:val="en-NZ"/>
                <w14:ligatures w14:val="standardContextual"/>
              </w:rPr>
            </w:pPr>
            <w:r w:rsidRPr="002B5C89">
              <w:rPr>
                <w:rFonts w:eastAsia="Calibri" w:cs="Times New Roman"/>
                <w:spacing w:val="-6"/>
                <w:szCs w:val="20"/>
                <w:lang w:val="en-NZ"/>
                <w14:ligatures w14:val="standardContextual"/>
              </w:rPr>
              <w:t>15</w:t>
            </w:r>
          </w:p>
        </w:tc>
      </w:tr>
      <w:tr w:rsidR="00646314" w:rsidRPr="002B5C89" w14:paraId="30F9C06B" w14:textId="77777777" w:rsidTr="00B963A5">
        <w:trPr>
          <w:trHeight w:val="350"/>
        </w:trPr>
        <w:tc>
          <w:tcPr>
            <w:tcW w:w="8641" w:type="dxa"/>
            <w:gridSpan w:val="2"/>
          </w:tcPr>
          <w:p w14:paraId="6CE1C631" w14:textId="77777777" w:rsidR="00A72023" w:rsidRPr="00A72023" w:rsidRDefault="00A72023" w:rsidP="00AB1C73">
            <w:pPr>
              <w:kinsoku w:val="0"/>
              <w:overflowPunct w:val="0"/>
              <w:autoSpaceDE w:val="0"/>
              <w:autoSpaceDN w:val="0"/>
              <w:adjustRightInd w:val="0"/>
              <w:spacing w:before="68" w:line="240" w:lineRule="auto"/>
              <w:ind w:left="274" w:right="414"/>
              <w:rPr>
                <w:rFonts w:eastAsia="Calibri" w:cs="Times New Roman"/>
                <w:spacing w:val="-6"/>
                <w:szCs w:val="20"/>
                <w:lang w:val="en-NZ"/>
                <w14:ligatures w14:val="standardContextual"/>
              </w:rPr>
            </w:pPr>
            <w:r w:rsidRPr="00A72023">
              <w:rPr>
                <w:rFonts w:eastAsia="Calibri" w:cs="Times New Roman"/>
                <w:spacing w:val="-6"/>
                <w:szCs w:val="20"/>
                <w:lang w:val="en-NZ"/>
                <w14:ligatures w14:val="standardContextual"/>
              </w:rPr>
              <w:t>NOTE 1: The expected e.i.r.p. is defined as the average value of the e.i.r.p., with the averaging being performed.</w:t>
            </w:r>
          </w:p>
          <w:p w14:paraId="2C7D2B68" w14:textId="77777777" w:rsidR="00A72023" w:rsidRPr="00A72023" w:rsidRDefault="00A72023" w:rsidP="00AB1C73">
            <w:pPr>
              <w:kinsoku w:val="0"/>
              <w:overflowPunct w:val="0"/>
              <w:autoSpaceDE w:val="0"/>
              <w:autoSpaceDN w:val="0"/>
              <w:adjustRightInd w:val="0"/>
              <w:spacing w:before="68" w:line="240" w:lineRule="auto"/>
              <w:ind w:left="274" w:right="414"/>
              <w:rPr>
                <w:rFonts w:eastAsia="Calibri" w:cs="Times New Roman"/>
                <w:spacing w:val="-6"/>
                <w:szCs w:val="20"/>
                <w:lang w:val="en-NZ"/>
                <w14:ligatures w14:val="standardContextual"/>
              </w:rPr>
            </w:pPr>
            <w:r w:rsidRPr="00A72023">
              <w:rPr>
                <w:rFonts w:eastAsia="Calibri" w:cs="Times New Roman"/>
                <w:spacing w:val="-6"/>
                <w:szCs w:val="20"/>
                <w:lang w:val="en-NZ"/>
                <w14:ligatures w14:val="standardContextual"/>
              </w:rPr>
              <w:t>‒ over horizontal angles from −180º to +180º, with the IMT base station beamforming in a specific direction within its horizontal and vertical steering range,</w:t>
            </w:r>
          </w:p>
          <w:p w14:paraId="4AB8FD51" w14:textId="77777777" w:rsidR="00A72023" w:rsidRDefault="00A72023" w:rsidP="00AB1C73">
            <w:pPr>
              <w:kinsoku w:val="0"/>
              <w:overflowPunct w:val="0"/>
              <w:autoSpaceDE w:val="0"/>
              <w:autoSpaceDN w:val="0"/>
              <w:adjustRightInd w:val="0"/>
              <w:spacing w:before="68" w:line="240" w:lineRule="auto"/>
              <w:ind w:left="274" w:right="414"/>
              <w:rPr>
                <w:rFonts w:eastAsia="Calibri" w:cs="Times New Roman"/>
                <w:spacing w:val="-6"/>
                <w:szCs w:val="20"/>
                <w:lang w:val="en-NZ"/>
                <w14:ligatures w14:val="standardContextual"/>
              </w:rPr>
            </w:pPr>
            <w:r w:rsidRPr="00A72023">
              <w:rPr>
                <w:rFonts w:eastAsia="Calibri" w:cs="Times New Roman"/>
                <w:spacing w:val="-6"/>
                <w:szCs w:val="20"/>
                <w:lang w:val="en-NZ"/>
                <w14:ligatures w14:val="standardContextual"/>
              </w:rPr>
              <w:t>‒ over different beamforming directions within the IMT base station horizontal and vertical steering range, and</w:t>
            </w:r>
          </w:p>
          <w:p w14:paraId="58F6F3F2" w14:textId="1DA47F6B" w:rsidR="00A72023" w:rsidRPr="00A72023" w:rsidRDefault="00A72023" w:rsidP="00AB1C73">
            <w:pPr>
              <w:kinsoku w:val="0"/>
              <w:overflowPunct w:val="0"/>
              <w:autoSpaceDE w:val="0"/>
              <w:autoSpaceDN w:val="0"/>
              <w:adjustRightInd w:val="0"/>
              <w:spacing w:before="68" w:line="240" w:lineRule="auto"/>
              <w:ind w:left="274" w:right="414"/>
              <w:rPr>
                <w:rFonts w:eastAsia="Calibri" w:cs="Times New Roman"/>
                <w:spacing w:val="-6"/>
                <w:szCs w:val="20"/>
                <w:lang w:val="en-NZ"/>
                <w14:ligatures w14:val="standardContextual"/>
              </w:rPr>
            </w:pPr>
            <w:r w:rsidRPr="00A72023">
              <w:rPr>
                <w:rFonts w:eastAsia="Calibri" w:cs="Times New Roman"/>
                <w:spacing w:val="-6"/>
                <w:szCs w:val="20"/>
                <w:lang w:val="en-NZ"/>
                <w14:ligatures w14:val="standardContextual"/>
              </w:rPr>
              <w:t xml:space="preserve">‒ over the specified vertical angle range </w:t>
            </w:r>
            <w:proofErr w:type="spellStart"/>
            <w:r w:rsidRPr="00A72023">
              <w:rPr>
                <w:rFonts w:eastAsia="Calibri" w:cs="Times New Roman"/>
                <w:spacing w:val="-6"/>
                <w:szCs w:val="20"/>
                <w:lang w:val="en-NZ"/>
                <w14:ligatures w14:val="standardContextual"/>
              </w:rPr>
              <w:t>θL</w:t>
            </w:r>
            <w:proofErr w:type="spellEnd"/>
            <w:r w:rsidRPr="00A72023">
              <w:rPr>
                <w:rFonts w:eastAsia="Calibri" w:cs="Times New Roman"/>
                <w:spacing w:val="-6"/>
                <w:szCs w:val="20"/>
                <w:lang w:val="en-NZ"/>
                <w14:ligatures w14:val="standardContextual"/>
              </w:rPr>
              <w:t xml:space="preserve"> ≤ θ &lt; </w:t>
            </w:r>
            <w:proofErr w:type="spellStart"/>
            <w:r w:rsidRPr="00A72023">
              <w:rPr>
                <w:rFonts w:eastAsia="Calibri" w:cs="Times New Roman"/>
                <w:spacing w:val="-6"/>
                <w:szCs w:val="20"/>
                <w:lang w:val="en-NZ"/>
                <w14:ligatures w14:val="standardContextual"/>
              </w:rPr>
              <w:t>θH</w:t>
            </w:r>
            <w:proofErr w:type="spellEnd"/>
            <w:r w:rsidRPr="00A72023">
              <w:rPr>
                <w:rFonts w:eastAsia="Calibri" w:cs="Times New Roman"/>
                <w:spacing w:val="-6"/>
                <w:szCs w:val="20"/>
                <w:lang w:val="en-NZ"/>
                <w14:ligatures w14:val="standardContextual"/>
              </w:rPr>
              <w:t>.</w:t>
            </w:r>
          </w:p>
          <w:p w14:paraId="14F9697A" w14:textId="77777777" w:rsidR="00A72023" w:rsidRPr="00A72023" w:rsidRDefault="00A72023" w:rsidP="00AB1C73">
            <w:pPr>
              <w:kinsoku w:val="0"/>
              <w:overflowPunct w:val="0"/>
              <w:autoSpaceDE w:val="0"/>
              <w:autoSpaceDN w:val="0"/>
              <w:adjustRightInd w:val="0"/>
              <w:spacing w:before="68" w:line="240" w:lineRule="auto"/>
              <w:ind w:left="274" w:right="414"/>
              <w:rPr>
                <w:rFonts w:eastAsia="Calibri" w:cs="Times New Roman"/>
                <w:spacing w:val="-6"/>
                <w:szCs w:val="20"/>
                <w:lang w:val="en-NZ"/>
                <w14:ligatures w14:val="standardContextual"/>
              </w:rPr>
            </w:pPr>
            <w:r w:rsidRPr="00A72023">
              <w:rPr>
                <w:rFonts w:eastAsia="Calibri" w:cs="Times New Roman"/>
                <w:spacing w:val="-6"/>
                <w:szCs w:val="20"/>
                <w:lang w:val="en-NZ"/>
                <w14:ligatures w14:val="standardContextual"/>
              </w:rPr>
              <w:t>NOTE 2: An IMT base station shall comply with the specified limits on expected e.i.r.p. spectral density for all mechanical tilts with which it can be deployed).</w:t>
            </w:r>
          </w:p>
          <w:p w14:paraId="24356F40" w14:textId="3F5029A3" w:rsidR="00646314" w:rsidRPr="002B5C89" w:rsidRDefault="00A72023" w:rsidP="00AB1C73">
            <w:pPr>
              <w:kinsoku w:val="0"/>
              <w:overflowPunct w:val="0"/>
              <w:autoSpaceDE w:val="0"/>
              <w:autoSpaceDN w:val="0"/>
              <w:adjustRightInd w:val="0"/>
              <w:spacing w:before="68" w:line="240" w:lineRule="auto"/>
              <w:ind w:left="274" w:right="414"/>
              <w:rPr>
                <w:rFonts w:eastAsia="Calibri" w:cs="Times New Roman"/>
                <w:spacing w:val="-6"/>
                <w:szCs w:val="20"/>
                <w:lang w:val="en-NZ"/>
                <w14:ligatures w14:val="standardContextual"/>
              </w:rPr>
            </w:pPr>
            <w:r w:rsidRPr="00A72023">
              <w:rPr>
                <w:rFonts w:eastAsia="Calibri" w:cs="Times New Roman"/>
                <w:spacing w:val="-6"/>
                <w:szCs w:val="20"/>
                <w:lang w:val="en-NZ"/>
                <w14:ligatures w14:val="standardContextual"/>
              </w:rPr>
              <w:t xml:space="preserve">NOTE 3: See the Annex to this Resolution for additional details on how the expected e.i.r.p. can be calculated </w:t>
            </w:r>
            <w:proofErr w:type="gramStart"/>
            <w:r w:rsidRPr="00A72023">
              <w:rPr>
                <w:rFonts w:eastAsia="Calibri" w:cs="Times New Roman"/>
                <w:spacing w:val="-6"/>
                <w:szCs w:val="20"/>
                <w:lang w:val="en-NZ"/>
                <w14:ligatures w14:val="standardContextual"/>
              </w:rPr>
              <w:t>for  this</w:t>
            </w:r>
            <w:proofErr w:type="gramEnd"/>
            <w:r w:rsidRPr="00A72023">
              <w:rPr>
                <w:rFonts w:eastAsia="Calibri" w:cs="Times New Roman"/>
                <w:spacing w:val="-6"/>
                <w:szCs w:val="20"/>
                <w:lang w:val="en-NZ"/>
                <w14:ligatures w14:val="standardContextual"/>
              </w:rPr>
              <w:t xml:space="preserve"> frequency band.</w:t>
            </w:r>
          </w:p>
        </w:tc>
      </w:tr>
    </w:tbl>
    <w:p w14:paraId="1EDC4BC5" w14:textId="77777777" w:rsidR="002B5C89" w:rsidRDefault="002B5C89" w:rsidP="00863EAF"/>
    <w:p w14:paraId="64E7421E" w14:textId="0649208B" w:rsidR="003763A7" w:rsidRDefault="003763A7" w:rsidP="003763A7">
      <w:r>
        <w:t xml:space="preserve">The key requirements of </w:t>
      </w:r>
      <w:r w:rsidR="00E06AF9">
        <w:t xml:space="preserve">ITU </w:t>
      </w:r>
      <w:r w:rsidR="00E06AF9" w:rsidRPr="00E06AF9">
        <w:t>Resolution 220</w:t>
      </w:r>
      <w:r w:rsidR="00E06AF9">
        <w:t xml:space="preserve"> </w:t>
      </w:r>
      <w:r>
        <w:t>[</w:t>
      </w:r>
      <w:r w:rsidR="00E06AF9">
        <w:t>2</w:t>
      </w:r>
      <w:r>
        <w:t xml:space="preserve">] are: </w:t>
      </w:r>
    </w:p>
    <w:p w14:paraId="24BBB49B" w14:textId="77777777" w:rsidR="003763A7" w:rsidRDefault="003763A7" w:rsidP="003763A7">
      <w:pPr>
        <w:pStyle w:val="ListParagraph"/>
        <w:numPr>
          <w:ilvl w:val="0"/>
          <w:numId w:val="38"/>
        </w:numPr>
      </w:pPr>
      <w:r>
        <w:t xml:space="preserve">compliance with values of expected e.i.r.p above the horizon and  </w:t>
      </w:r>
    </w:p>
    <w:p w14:paraId="14B4C731" w14:textId="50B3C209" w:rsidR="002B5C89" w:rsidRDefault="009976A9" w:rsidP="003763A7">
      <w:pPr>
        <w:pStyle w:val="ListParagraph"/>
        <w:numPr>
          <w:ilvl w:val="0"/>
          <w:numId w:val="38"/>
        </w:numPr>
      </w:pPr>
      <w:r>
        <w:t xml:space="preserve">providing </w:t>
      </w:r>
      <w:r w:rsidR="003763A7">
        <w:t>a</w:t>
      </w:r>
      <w:r>
        <w:t xml:space="preserve"> calculation methodology to the</w:t>
      </w:r>
      <w:r w:rsidR="003763A7">
        <w:t xml:space="preserve"> theoretical procedure given in </w:t>
      </w:r>
      <w:r>
        <w:t xml:space="preserve">the </w:t>
      </w:r>
      <w:r w:rsidR="003763A7">
        <w:t xml:space="preserve">Annex to Resolution </w:t>
      </w:r>
      <w:r w:rsidR="00E13D39">
        <w:t xml:space="preserve">220 </w:t>
      </w:r>
      <w:r w:rsidR="003763A7">
        <w:t>[2]</w:t>
      </w:r>
    </w:p>
    <w:p w14:paraId="031D3746" w14:textId="71E13552" w:rsidR="00DF30B8" w:rsidRDefault="00DF30B8" w:rsidP="00DF30B8">
      <w:r>
        <w:t xml:space="preserve">This expected e.i.r.p. condition proposed for the Radio Regulation is only for the top half of the hemisphere, i.e. above the horizon, and 360° (or 2π) around the azimuth. The angles for the ITU-R (Radio Regulation) are defined as described </w:t>
      </w:r>
      <w:r w:rsidR="00203E17">
        <w:t xml:space="preserve">on Figure 1. </w:t>
      </w:r>
    </w:p>
    <w:p w14:paraId="0AC97FBA" w14:textId="7249BCF9" w:rsidR="008E773E" w:rsidRDefault="00F73450" w:rsidP="00203E17">
      <w:pPr>
        <w:jc w:val="center"/>
      </w:pPr>
      <w:r>
        <w:rPr>
          <w:noProof/>
        </w:rPr>
        <w:drawing>
          <wp:inline distT="0" distB="0" distL="0" distR="0" wp14:anchorId="11E38536" wp14:editId="7BD0D910">
            <wp:extent cx="5347832" cy="1764279"/>
            <wp:effectExtent l="0" t="0" r="5715" b="7620"/>
            <wp:docPr id="1221186313" name="Picture 1" descr="A diagram of a sphere with line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186313" name="Picture 1" descr="A diagram of a sphere with lines and text&#10;&#10;Description automatically generated with medium confidence"/>
                    <pic:cNvPicPr/>
                  </pic:nvPicPr>
                  <pic:blipFill>
                    <a:blip r:embed="rId13"/>
                    <a:stretch>
                      <a:fillRect/>
                    </a:stretch>
                  </pic:blipFill>
                  <pic:spPr>
                    <a:xfrm>
                      <a:off x="0" y="0"/>
                      <a:ext cx="5364357" cy="1769731"/>
                    </a:xfrm>
                    <a:prstGeom prst="rect">
                      <a:avLst/>
                    </a:prstGeom>
                  </pic:spPr>
                </pic:pic>
              </a:graphicData>
            </a:graphic>
          </wp:inline>
        </w:drawing>
      </w:r>
    </w:p>
    <w:p w14:paraId="6EB69772" w14:textId="17AF8CD0" w:rsidR="00435A3D" w:rsidRPr="002B5C89" w:rsidRDefault="002B5C89" w:rsidP="00203E17">
      <w:pPr>
        <w:jc w:val="center"/>
        <w:rPr>
          <w:b/>
          <w:bCs/>
        </w:rPr>
      </w:pPr>
      <w:r w:rsidRPr="002B5C89">
        <w:rPr>
          <w:b/>
          <w:bCs/>
        </w:rPr>
        <w:t>Figure 1:  Definitions of the angles defined by the ITU-R (Radio Regulation) Resolution 220 for</w:t>
      </w:r>
      <w:r w:rsidR="007765C9">
        <w:rPr>
          <w:b/>
          <w:bCs/>
        </w:rPr>
        <w:t xml:space="preserve"> the</w:t>
      </w:r>
      <w:r w:rsidRPr="002B5C89">
        <w:rPr>
          <w:b/>
          <w:bCs/>
        </w:rPr>
        <w:t xml:space="preserve"> expected e.i.r.p.</w:t>
      </w:r>
    </w:p>
    <w:p w14:paraId="51A115BC" w14:textId="39B9C775" w:rsidR="00435A3D" w:rsidRDefault="00435A3D" w:rsidP="00203E17">
      <w:pPr>
        <w:jc w:val="center"/>
      </w:pPr>
    </w:p>
    <w:p w14:paraId="697C0CA4" w14:textId="27F25625" w:rsidR="00E06AF9" w:rsidRPr="00E06AF9" w:rsidRDefault="00E06AF9" w:rsidP="00E06AF9">
      <w:pPr>
        <w:spacing w:after="0"/>
      </w:pPr>
      <w:r w:rsidRPr="00E06AF9">
        <w:rPr>
          <w:b/>
          <w:bCs/>
        </w:rPr>
        <w:t>Observation 1</w:t>
      </w:r>
      <w:r w:rsidRPr="00E06AF9">
        <w:t xml:space="preserve">: The key requirements of ITU Resolution </w:t>
      </w:r>
      <w:proofErr w:type="spellStart"/>
      <w:r w:rsidRPr="00E06AF9">
        <w:t>Resolution</w:t>
      </w:r>
      <w:proofErr w:type="spellEnd"/>
      <w:r w:rsidRPr="00E06AF9">
        <w:t xml:space="preserve"> 220 [2] are: </w:t>
      </w:r>
    </w:p>
    <w:p w14:paraId="56FDDAB9" w14:textId="77777777" w:rsidR="00E06AF9" w:rsidRPr="00E06AF9" w:rsidRDefault="00E06AF9" w:rsidP="00E06AF9">
      <w:pPr>
        <w:pStyle w:val="ListParagraph"/>
        <w:numPr>
          <w:ilvl w:val="0"/>
          <w:numId w:val="40"/>
        </w:numPr>
        <w:spacing w:after="0"/>
      </w:pPr>
      <w:r w:rsidRPr="00E06AF9">
        <w:t xml:space="preserve">compliance with values of expected e.i.r.p above the horizon and  </w:t>
      </w:r>
    </w:p>
    <w:p w14:paraId="63BCE1AB" w14:textId="19AEBD71" w:rsidR="00E06AF9" w:rsidRPr="00E06AF9" w:rsidRDefault="00F73450" w:rsidP="00E06AF9">
      <w:pPr>
        <w:pStyle w:val="ListParagraph"/>
        <w:numPr>
          <w:ilvl w:val="0"/>
          <w:numId w:val="40"/>
        </w:numPr>
        <w:spacing w:after="0"/>
      </w:pPr>
      <w:r>
        <w:t xml:space="preserve">providing </w:t>
      </w:r>
      <w:r w:rsidR="00E06AF9" w:rsidRPr="00E06AF9">
        <w:t>a</w:t>
      </w:r>
      <w:r>
        <w:t xml:space="preserve"> calculation methodology to the </w:t>
      </w:r>
      <w:r w:rsidR="00E06AF9" w:rsidRPr="00E06AF9">
        <w:t xml:space="preserve">theoretical procedure given in </w:t>
      </w:r>
      <w:r>
        <w:t xml:space="preserve">the </w:t>
      </w:r>
      <w:r w:rsidR="00E06AF9" w:rsidRPr="00E06AF9">
        <w:t xml:space="preserve">Annex to Resolution </w:t>
      </w:r>
      <w:r>
        <w:t xml:space="preserve">220 </w:t>
      </w:r>
      <w:r w:rsidR="00E06AF9" w:rsidRPr="00E06AF9">
        <w:t>[2]</w:t>
      </w:r>
    </w:p>
    <w:p w14:paraId="0025CC2F" w14:textId="602A3DA1" w:rsidR="00AB1C73" w:rsidRDefault="00AB1C73" w:rsidP="00E06AF9"/>
    <w:p w14:paraId="164741DE" w14:textId="2A8D1E94" w:rsidR="00AB1C73" w:rsidRDefault="006F3F78" w:rsidP="006F3F78">
      <w:r>
        <w:t>In next sections we provide</w:t>
      </w:r>
      <w:r w:rsidR="00E52FB5">
        <w:t xml:space="preserve"> the</w:t>
      </w:r>
      <w:r>
        <w:t xml:space="preserve"> formulation of </w:t>
      </w:r>
      <w:r w:rsidR="00E52FB5">
        <w:t xml:space="preserve">the </w:t>
      </w:r>
      <w:r>
        <w:t>expected</w:t>
      </w:r>
      <w:r w:rsidR="00E52FB5">
        <w:t xml:space="preserve"> e.i.r.p. with some examples</w:t>
      </w:r>
      <w:r>
        <w:t xml:space="preserve">. </w:t>
      </w:r>
    </w:p>
    <w:p w14:paraId="67F6621A" w14:textId="77777777" w:rsidR="00AB1C73" w:rsidRDefault="00AB1C73" w:rsidP="00203E17">
      <w:pPr>
        <w:jc w:val="center"/>
      </w:pPr>
    </w:p>
    <w:p w14:paraId="689CC6E0" w14:textId="425EF28D" w:rsidR="00E06AF9" w:rsidRPr="00E06AF9" w:rsidRDefault="00E06AF9" w:rsidP="00E06AF9">
      <w:pPr>
        <w:rPr>
          <w:rFonts w:ascii="Calibri" w:eastAsia="DengXian" w:hAnsi="Calibri" w:cs="Times New Roman"/>
          <w:sz w:val="22"/>
        </w:rPr>
      </w:pPr>
    </w:p>
    <w:p w14:paraId="2E3E8676" w14:textId="77777777" w:rsidR="00E06AF9" w:rsidRDefault="00E06AF9" w:rsidP="00E06AF9">
      <w:pPr>
        <w:rPr>
          <w:rFonts w:eastAsia="Calibri" w:cs="Times New Roman"/>
          <w:szCs w:val="20"/>
        </w:rPr>
      </w:pPr>
    </w:p>
    <w:p w14:paraId="1D9534BC" w14:textId="776E794E" w:rsidR="006F3F78" w:rsidRPr="006F3F78" w:rsidRDefault="006F3F78" w:rsidP="006F3F78">
      <w:pPr>
        <w:pStyle w:val="RAN4H2"/>
        <w:rPr>
          <w:rFonts w:eastAsia="Calibri"/>
        </w:rPr>
      </w:pPr>
      <w:r w:rsidRPr="006F3F78">
        <w:rPr>
          <w:rFonts w:eastAsia="Calibri"/>
        </w:rPr>
        <w:t xml:space="preserve">The expected e.i.r.p. </w:t>
      </w:r>
      <w:r>
        <w:rPr>
          <w:rFonts w:eastAsia="Calibri"/>
        </w:rPr>
        <w:t>c</w:t>
      </w:r>
      <w:r w:rsidRPr="006F3F78">
        <w:rPr>
          <w:rFonts w:eastAsia="Calibri"/>
        </w:rPr>
        <w:t>alculation</w:t>
      </w:r>
    </w:p>
    <w:p w14:paraId="2DF76CA9" w14:textId="77777777" w:rsidR="006F3F78" w:rsidRDefault="006F3F78" w:rsidP="006F3F78">
      <w:pPr>
        <w:rPr>
          <w:rFonts w:eastAsia="Calibri" w:cs="Times New Roman"/>
          <w:szCs w:val="20"/>
        </w:rPr>
      </w:pPr>
    </w:p>
    <w:p w14:paraId="770FEFE5" w14:textId="0223AED9" w:rsidR="006F3F78" w:rsidRPr="006F3F78" w:rsidRDefault="006F3F78" w:rsidP="006F3F78">
      <w:pPr>
        <w:rPr>
          <w:rFonts w:eastAsia="Calibri" w:cs="Times New Roman"/>
          <w:szCs w:val="20"/>
        </w:rPr>
      </w:pPr>
      <w:r w:rsidRPr="006F3F78">
        <w:rPr>
          <w:rFonts w:eastAsia="Calibri" w:cs="Times New Roman"/>
          <w:szCs w:val="20"/>
        </w:rPr>
        <w:t>The expected e.i.r.p. calculation is based on two averaging processes:</w:t>
      </w:r>
    </w:p>
    <w:p w14:paraId="644DF06C" w14:textId="77777777" w:rsidR="006F3F78" w:rsidRDefault="006F3F78" w:rsidP="006F3F78">
      <w:pPr>
        <w:pStyle w:val="ListParagraph"/>
        <w:numPr>
          <w:ilvl w:val="0"/>
          <w:numId w:val="41"/>
        </w:numPr>
        <w:rPr>
          <w:rFonts w:eastAsia="Calibri" w:cs="Times New Roman"/>
          <w:szCs w:val="20"/>
        </w:rPr>
      </w:pPr>
      <w:r w:rsidRPr="006F3F78">
        <w:rPr>
          <w:rFonts w:eastAsia="Calibri" w:cs="Times New Roman"/>
          <w:szCs w:val="20"/>
        </w:rPr>
        <w:t>Averaging of beamforming directions</w:t>
      </w:r>
    </w:p>
    <w:p w14:paraId="11ACA3FD" w14:textId="572C949B" w:rsidR="006F3F78" w:rsidRPr="006F3F78" w:rsidRDefault="006F3F78" w:rsidP="006F3F78">
      <w:pPr>
        <w:pStyle w:val="ListParagraph"/>
        <w:numPr>
          <w:ilvl w:val="0"/>
          <w:numId w:val="41"/>
        </w:numPr>
        <w:rPr>
          <w:rFonts w:eastAsia="Calibri" w:cs="Times New Roman"/>
          <w:szCs w:val="20"/>
        </w:rPr>
      </w:pPr>
      <w:r w:rsidRPr="006F3F78">
        <w:rPr>
          <w:rFonts w:eastAsia="Calibri" w:cs="Times New Roman"/>
          <w:szCs w:val="20"/>
        </w:rPr>
        <w:t>Averaging over horizontal and vertical angles</w:t>
      </w:r>
    </w:p>
    <w:p w14:paraId="5B9C04D7" w14:textId="5FC9ED61" w:rsidR="00E06AF9" w:rsidRDefault="006F3F78" w:rsidP="006F3F78">
      <w:pPr>
        <w:pStyle w:val="RAN4H3"/>
      </w:pPr>
      <w:r w:rsidRPr="006F3F78">
        <w:t>Averaging over beamforming directions</w:t>
      </w:r>
    </w:p>
    <w:p w14:paraId="25ECE3E2" w14:textId="42326F70" w:rsidR="006F3F78" w:rsidRPr="006F3F78" w:rsidRDefault="006F3F78" w:rsidP="006F3F78">
      <w:r w:rsidRPr="006F3F78">
        <w:t xml:space="preserve">The initial </w:t>
      </w:r>
      <w:r>
        <w:t xml:space="preserve">ITU </w:t>
      </w:r>
      <w:r w:rsidRPr="006F3F78">
        <w:t>suggestion was a simple averaging process over a set of beams equally within the electrical steering range. This average power can be written as:</w:t>
      </w:r>
    </w:p>
    <w:p w14:paraId="70A9E38F" w14:textId="77777777" w:rsidR="006F3F78" w:rsidRPr="006F3F78" w:rsidRDefault="00000000" w:rsidP="006F3F78">
      <w:pPr>
        <w:tabs>
          <w:tab w:val="left" w:pos="1871"/>
          <w:tab w:val="left" w:pos="2608"/>
          <w:tab w:val="left" w:pos="3345"/>
        </w:tabs>
        <w:overflowPunct w:val="0"/>
        <w:spacing w:before="240" w:after="60" w:line="240" w:lineRule="auto"/>
        <w:jc w:val="both"/>
        <w:textAlignment w:val="baseline"/>
        <w:rPr>
          <w:rFonts w:ascii="Calibri" w:eastAsia="Calibri" w:hAnsi="Calibri" w:cs="Arial"/>
          <w:bCs/>
          <w:sz w:val="22"/>
          <w:lang w:val="en-GB"/>
        </w:rPr>
      </w:pPr>
      <m:oMathPara>
        <m:oMath>
          <m:sSub>
            <m:sSubPr>
              <m:ctrlPr>
                <w:rPr>
                  <w:rFonts w:ascii="Cambria Math" w:eastAsia="SimSun" w:hAnsi="Cambria Math" w:cs="Times New Roman"/>
                  <w:i/>
                  <w:sz w:val="22"/>
                  <w:lang w:val="en-GB"/>
                </w:rPr>
              </m:ctrlPr>
            </m:sSubPr>
            <m:e>
              <m:r>
                <w:rPr>
                  <w:rFonts w:ascii="Cambria Math" w:eastAsia="SimSun" w:hAnsi="Cambria Math" w:cs="Arial"/>
                  <w:lang w:val="en-GB"/>
                </w:rPr>
                <m:t>P</m:t>
              </m:r>
            </m:e>
            <m:sub>
              <m:r>
                <w:rPr>
                  <w:rFonts w:ascii="Cambria Math" w:eastAsia="SimSun" w:hAnsi="Cambria Math" w:cs="Arial"/>
                  <w:lang w:val="en-GB"/>
                </w:rPr>
                <m:t>ave</m:t>
              </m:r>
            </m:sub>
          </m:sSub>
          <m:d>
            <m:dPr>
              <m:ctrlPr>
                <w:rPr>
                  <w:rFonts w:ascii="Cambria Math" w:eastAsia="SimSun" w:hAnsi="Cambria Math" w:cs="Times New Roman"/>
                  <w:i/>
                  <w:sz w:val="22"/>
                  <w:lang w:val="en-GB"/>
                </w:rPr>
              </m:ctrlPr>
            </m:dPr>
            <m:e>
              <m:sSub>
                <m:sSubPr>
                  <m:ctrlPr>
                    <w:rPr>
                      <w:rFonts w:ascii="Cambria Math" w:eastAsia="SimSun" w:hAnsi="Cambria Math" w:cs="Times New Roman"/>
                      <w:i/>
                      <w:sz w:val="22"/>
                      <w:lang w:val="en-GB"/>
                    </w:rPr>
                  </m:ctrlPr>
                </m:sSubPr>
                <m:e>
                  <m:r>
                    <w:rPr>
                      <w:rFonts w:ascii="Cambria Math" w:eastAsia="SimSun" w:hAnsi="Cambria Math" w:cs="Arial"/>
                      <w:lang w:val="en-GB"/>
                    </w:rPr>
                    <m:t>θ</m:t>
                  </m:r>
                </m:e>
                <m:sub>
                  <m:r>
                    <w:rPr>
                      <w:rFonts w:ascii="Cambria Math" w:eastAsia="SimSun" w:hAnsi="Cambria Math" w:cs="Arial"/>
                      <w:lang w:val="en-GB"/>
                    </w:rPr>
                    <m:t>0</m:t>
                  </m:r>
                </m:sub>
              </m:sSub>
              <m:sSub>
                <m:sSubPr>
                  <m:ctrlPr>
                    <w:rPr>
                      <w:rFonts w:ascii="Cambria Math" w:eastAsia="SimSun" w:hAnsi="Cambria Math" w:cs="Times New Roman"/>
                      <w:i/>
                      <w:kern w:val="24"/>
                      <w:sz w:val="22"/>
                      <w:lang w:val="en-GB"/>
                    </w:rPr>
                  </m:ctrlPr>
                </m:sSubPr>
                <m:e>
                  <m:r>
                    <w:rPr>
                      <w:rFonts w:ascii="Cambria Math" w:eastAsia="SimSun" w:hAnsi="Cambria Math" w:cs="Arial"/>
                      <w:kern w:val="24"/>
                      <w:lang w:val="en-GB"/>
                    </w:rPr>
                    <m:t>,φ</m:t>
                  </m:r>
                </m:e>
                <m:sub>
                  <m:r>
                    <w:rPr>
                      <w:rFonts w:ascii="Cambria Math" w:eastAsia="SimSun" w:hAnsi="Cambria Math" w:cs="Arial"/>
                      <w:kern w:val="24"/>
                      <w:lang w:val="en-GB"/>
                    </w:rPr>
                    <m:t>0</m:t>
                  </m:r>
                </m:sub>
              </m:sSub>
            </m:e>
          </m:d>
          <m:r>
            <w:rPr>
              <w:rFonts w:ascii="Cambria Math" w:eastAsia="SimSun" w:hAnsi="Cambria Math" w:cs="Arial"/>
              <w:lang w:val="en-GB"/>
            </w:rPr>
            <m:t>=</m:t>
          </m:r>
          <m:f>
            <m:fPr>
              <m:ctrlPr>
                <w:rPr>
                  <w:rFonts w:ascii="Cambria Math" w:eastAsia="SimSun" w:hAnsi="Cambria Math" w:cs="Arial"/>
                  <w:i/>
                  <w:lang w:val="en-GB"/>
                </w:rPr>
              </m:ctrlPr>
            </m:fPr>
            <m:num>
              <m:r>
                <w:rPr>
                  <w:rFonts w:ascii="Cambria Math" w:eastAsia="SimSun" w:hAnsi="Cambria Math" w:cs="Arial"/>
                  <w:lang w:val="en-GB"/>
                </w:rPr>
                <m:t>1</m:t>
              </m:r>
            </m:num>
            <m:den>
              <m:r>
                <w:rPr>
                  <w:rFonts w:ascii="Cambria Math" w:eastAsia="SimSun" w:hAnsi="Cambria Math" w:cs="Arial"/>
                  <w:lang w:val="en-GB"/>
                </w:rPr>
                <m:t>N</m:t>
              </m:r>
            </m:den>
          </m:f>
          <m:nary>
            <m:naryPr>
              <m:chr m:val="∑"/>
              <m:limLoc m:val="undOvr"/>
              <m:ctrlPr>
                <w:rPr>
                  <w:rFonts w:ascii="Cambria Math" w:eastAsia="Calibri" w:hAnsi="Cambria Math" w:cs="Times New Roman"/>
                  <w:i/>
                  <w:iCs/>
                  <w:sz w:val="22"/>
                  <w:lang w:val="en-GB"/>
                </w:rPr>
              </m:ctrlPr>
            </m:naryPr>
            <m:sub>
              <m:r>
                <w:rPr>
                  <w:rFonts w:ascii="Cambria Math" w:eastAsia="Calibri" w:hAnsi="Cambria Math" w:cs="Arial"/>
                  <w:lang w:val="en-GB"/>
                </w:rPr>
                <m:t>n=1</m:t>
              </m:r>
            </m:sub>
            <m:sup>
              <m:r>
                <w:rPr>
                  <w:rFonts w:ascii="Cambria Math" w:eastAsia="Calibri" w:hAnsi="Cambria Math" w:cs="Arial"/>
                  <w:lang w:val="en-GB"/>
                </w:rPr>
                <m:t>N</m:t>
              </m:r>
            </m:sup>
            <m:e>
              <m:r>
                <w:rPr>
                  <w:rFonts w:ascii="Cambria Math" w:eastAsia="Calibri" w:hAnsi="Cambria Math" w:cs="Arial"/>
                  <w:lang w:val="en-GB"/>
                </w:rPr>
                <m:t>P</m:t>
              </m:r>
              <m:d>
                <m:dPr>
                  <m:ctrlPr>
                    <w:rPr>
                      <w:rFonts w:ascii="Cambria Math" w:eastAsia="Calibri" w:hAnsi="Cambria Math" w:cs="Times New Roman"/>
                      <w:i/>
                      <w:sz w:val="22"/>
                      <w:lang w:val="en-GB"/>
                    </w:rPr>
                  </m:ctrlPr>
                </m:dPr>
                <m:e>
                  <m:sSub>
                    <m:sSubPr>
                      <m:ctrlPr>
                        <w:rPr>
                          <w:rFonts w:ascii="Cambria Math" w:eastAsia="Calibri" w:hAnsi="Cambria Math" w:cs="Times New Roman"/>
                          <w:i/>
                          <w:sz w:val="22"/>
                          <w:lang w:val="en-GB"/>
                        </w:rPr>
                      </m:ctrlPr>
                    </m:sSubPr>
                    <m:e>
                      <m:r>
                        <w:rPr>
                          <w:rFonts w:ascii="Cambria Math" w:eastAsia="Calibri" w:hAnsi="Cambria Math" w:cs="Arial"/>
                          <w:lang w:val="en-GB"/>
                        </w:rPr>
                        <m:t>θ</m:t>
                      </m:r>
                    </m:e>
                    <m:sub>
                      <m:r>
                        <w:rPr>
                          <w:rFonts w:ascii="Cambria Math" w:eastAsia="Calibri" w:hAnsi="Cambria Math" w:cs="Arial"/>
                          <w:lang w:val="en-GB"/>
                        </w:rPr>
                        <m:t>0</m:t>
                      </m:r>
                    </m:sub>
                  </m:sSub>
                  <m:r>
                    <w:rPr>
                      <w:rFonts w:ascii="Cambria Math" w:eastAsia="Calibri" w:hAnsi="Cambria Math" w:cs="Arial"/>
                      <w:lang w:val="en-GB"/>
                    </w:rPr>
                    <m:t>,</m:t>
                  </m:r>
                  <m:sSub>
                    <m:sSubPr>
                      <m:ctrlPr>
                        <w:rPr>
                          <w:rFonts w:ascii="Cambria Math" w:eastAsia="Calibri" w:hAnsi="Cambria Math" w:cs="Times New Roman"/>
                          <w:i/>
                          <w:sz w:val="22"/>
                          <w:lang w:val="en-GB"/>
                        </w:rPr>
                      </m:ctrlPr>
                    </m:sSubPr>
                    <m:e>
                      <m:r>
                        <w:rPr>
                          <w:rFonts w:ascii="Cambria Math" w:eastAsia="Calibri" w:hAnsi="Cambria Math" w:cs="Arial"/>
                          <w:lang w:val="en-GB"/>
                        </w:rPr>
                        <m:t>φ</m:t>
                      </m:r>
                    </m:e>
                    <m:sub>
                      <m:r>
                        <w:rPr>
                          <w:rFonts w:ascii="Cambria Math" w:eastAsia="Calibri" w:hAnsi="Cambria Math" w:cs="Arial"/>
                          <w:lang w:val="en-GB"/>
                        </w:rPr>
                        <m:t>0</m:t>
                      </m:r>
                    </m:sub>
                  </m:sSub>
                  <m:r>
                    <w:rPr>
                      <w:rFonts w:ascii="Cambria Math" w:eastAsia="Calibri" w:hAnsi="Cambria Math" w:cs="Arial"/>
                      <w:lang w:val="en-GB"/>
                    </w:rPr>
                    <m:t xml:space="preserve"> ; </m:t>
                  </m:r>
                  <m:sSub>
                    <m:sSubPr>
                      <m:ctrlPr>
                        <w:rPr>
                          <w:rFonts w:ascii="Cambria Math" w:eastAsia="Calibri" w:hAnsi="Cambria Math" w:cs="Times New Roman"/>
                          <w:i/>
                          <w:sz w:val="22"/>
                          <w:lang w:val="en-GB"/>
                        </w:rPr>
                      </m:ctrlPr>
                    </m:sSubPr>
                    <m:e>
                      <m:r>
                        <w:rPr>
                          <w:rFonts w:ascii="Cambria Math" w:eastAsia="Calibri" w:hAnsi="Cambria Math" w:cs="Arial"/>
                          <w:lang w:val="en-GB"/>
                        </w:rPr>
                        <m:t>α</m:t>
                      </m:r>
                    </m:e>
                    <m:sub>
                      <m:r>
                        <w:rPr>
                          <w:rFonts w:ascii="Cambria Math" w:eastAsia="Calibri" w:hAnsi="Cambria Math" w:cs="Arial"/>
                          <w:lang w:val="en-GB"/>
                        </w:rPr>
                        <m:t>n</m:t>
                      </m:r>
                    </m:sub>
                  </m:sSub>
                  <m:r>
                    <w:rPr>
                      <w:rFonts w:ascii="Cambria Math" w:eastAsia="Calibri" w:hAnsi="Cambria Math" w:cs="Arial"/>
                      <w:lang w:val="en-GB"/>
                    </w:rPr>
                    <m:t>,</m:t>
                  </m:r>
                  <m:sSub>
                    <m:sSubPr>
                      <m:ctrlPr>
                        <w:rPr>
                          <w:rFonts w:ascii="Cambria Math" w:eastAsia="Calibri" w:hAnsi="Cambria Math" w:cs="Times New Roman"/>
                          <w:i/>
                          <w:sz w:val="22"/>
                          <w:lang w:val="en-GB"/>
                        </w:rPr>
                      </m:ctrlPr>
                    </m:sSubPr>
                    <m:e>
                      <m:r>
                        <w:rPr>
                          <w:rFonts w:ascii="Cambria Math" w:eastAsia="Calibri" w:hAnsi="Cambria Math" w:cs="Arial"/>
                          <w:lang w:val="en-GB"/>
                        </w:rPr>
                        <m:t>β</m:t>
                      </m:r>
                    </m:e>
                    <m:sub>
                      <m:r>
                        <w:rPr>
                          <w:rFonts w:ascii="Cambria Math" w:eastAsia="Calibri" w:hAnsi="Cambria Math" w:cs="Arial"/>
                          <w:lang w:val="en-GB"/>
                        </w:rPr>
                        <m:t>n</m:t>
                      </m:r>
                    </m:sub>
                  </m:sSub>
                </m:e>
              </m:d>
            </m:e>
          </m:nary>
        </m:oMath>
      </m:oMathPara>
    </w:p>
    <w:p w14:paraId="7EA868CD" w14:textId="77777777" w:rsidR="006F3F78" w:rsidRPr="006F3F78" w:rsidRDefault="006F3F78" w:rsidP="006F3F78">
      <w:pPr>
        <w:tabs>
          <w:tab w:val="left" w:pos="1871"/>
          <w:tab w:val="left" w:pos="2608"/>
          <w:tab w:val="left" w:pos="3345"/>
        </w:tabs>
        <w:overflowPunct w:val="0"/>
        <w:spacing w:before="240" w:after="60" w:line="240" w:lineRule="auto"/>
        <w:jc w:val="both"/>
        <w:textAlignment w:val="baseline"/>
        <w:rPr>
          <w:rFonts w:eastAsia="Calibri" w:cs="Times New Roman"/>
          <w:bCs/>
          <w:szCs w:val="20"/>
          <w:lang w:val="en-GB"/>
        </w:rPr>
      </w:pPr>
      <w:r w:rsidRPr="006F3F78">
        <w:rPr>
          <w:rFonts w:eastAsia="Calibri" w:cs="Times New Roman"/>
          <w:bCs/>
          <w:szCs w:val="20"/>
          <w:lang w:val="en-GB"/>
        </w:rPr>
        <w:t xml:space="preserve">However, the sharing studies in ITU-R assumes uniformly distributed UEs over the coverage cell which makes the beams steer with a non-uniform distribution over the coverage cell. To take account of this non-uniform distribution in the averaging, we can introduce some ‘weights’, </w:t>
      </w:r>
      <w:proofErr w:type="spellStart"/>
      <w:r w:rsidRPr="006F3F78">
        <w:rPr>
          <w:rFonts w:eastAsia="Calibri" w:cs="Times New Roman"/>
          <w:bCs/>
          <w:i/>
          <w:iCs/>
          <w:szCs w:val="20"/>
          <w:lang w:val="en-GB"/>
        </w:rPr>
        <w:t>w</w:t>
      </w:r>
      <w:r w:rsidRPr="006F3F78">
        <w:rPr>
          <w:rFonts w:eastAsia="Calibri" w:cs="Times New Roman"/>
          <w:bCs/>
          <w:i/>
          <w:iCs/>
          <w:szCs w:val="20"/>
          <w:vertAlign w:val="subscript"/>
          <w:lang w:val="en-GB"/>
        </w:rPr>
        <w:t>n</w:t>
      </w:r>
      <w:proofErr w:type="spellEnd"/>
      <w:r w:rsidRPr="006F3F78">
        <w:rPr>
          <w:rFonts w:eastAsia="Calibri" w:cs="Times New Roman"/>
          <w:bCs/>
          <w:szCs w:val="20"/>
          <w:lang w:val="en-GB"/>
        </w:rPr>
        <w:t>, which can provide the adjustments.</w:t>
      </w:r>
    </w:p>
    <w:p w14:paraId="1DC96E9F" w14:textId="77777777" w:rsidR="006F3F78" w:rsidRPr="006F3F78" w:rsidRDefault="006F3F78" w:rsidP="006F3F78">
      <w:pPr>
        <w:tabs>
          <w:tab w:val="left" w:pos="1871"/>
          <w:tab w:val="left" w:pos="2608"/>
          <w:tab w:val="left" w:pos="3345"/>
        </w:tabs>
        <w:overflowPunct w:val="0"/>
        <w:spacing w:before="240" w:after="60" w:line="240" w:lineRule="auto"/>
        <w:jc w:val="both"/>
        <w:textAlignment w:val="baseline"/>
        <w:rPr>
          <w:rFonts w:eastAsia="Calibri" w:cs="Times New Roman"/>
          <w:szCs w:val="20"/>
          <w:lang w:val="en-GB"/>
        </w:rPr>
      </w:pPr>
      <w:r w:rsidRPr="006F3F78">
        <w:rPr>
          <w:rFonts w:eastAsia="SimSun" w:cs="Times New Roman"/>
          <w:bCs/>
          <w:szCs w:val="20"/>
          <w:lang w:val="en-GB"/>
        </w:rPr>
        <w:t>The</w:t>
      </w:r>
      <w:r w:rsidRPr="006F3F78">
        <w:rPr>
          <w:rFonts w:eastAsia="SimSun" w:cs="Times New Roman"/>
          <w:szCs w:val="20"/>
          <w:lang w:val="en-GB"/>
        </w:rPr>
        <w:t xml:space="preserve"> beamforming directions </w:t>
      </w:r>
      <m:oMath>
        <m:d>
          <m:dPr>
            <m:ctrlPr>
              <w:rPr>
                <w:rFonts w:ascii="Cambria Math" w:eastAsia="SimSun" w:hAnsi="Cambria Math" w:cs="Times New Roman"/>
                <w:i/>
                <w:szCs w:val="20"/>
                <w:lang w:val="en-GB"/>
              </w:rPr>
            </m:ctrlPr>
          </m:dPr>
          <m:e>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α</m:t>
                </m:r>
              </m:e>
              <m:sub>
                <m:r>
                  <w:rPr>
                    <w:rFonts w:ascii="Cambria Math" w:eastAsia="SimSun" w:hAnsi="Cambria Math" w:cs="Times New Roman"/>
                    <w:szCs w:val="20"/>
                    <w:lang w:val="en-GB"/>
                  </w:rPr>
                  <m:t>n</m:t>
                </m:r>
              </m:sub>
            </m:sSub>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β</m:t>
                </m:r>
              </m:e>
              <m:sub>
                <m:r>
                  <w:rPr>
                    <w:rFonts w:ascii="Cambria Math" w:eastAsia="SimSun" w:hAnsi="Cambria Math" w:cs="Times New Roman"/>
                    <w:szCs w:val="20"/>
                    <w:lang w:val="en-GB"/>
                  </w:rPr>
                  <m:t>n</m:t>
                </m:r>
              </m:sub>
            </m:sSub>
          </m:e>
        </m:d>
      </m:oMath>
      <w:r w:rsidRPr="006F3F78">
        <w:rPr>
          <w:rFonts w:eastAsia="SimSun" w:cs="Times New Roman"/>
          <w:szCs w:val="20"/>
          <w:lang w:val="en-GB"/>
        </w:rPr>
        <w:t xml:space="preserve"> </w:t>
      </w:r>
      <w:r w:rsidRPr="006F3F78">
        <w:rPr>
          <w:rFonts w:eastAsia="Calibri" w:cs="Times New Roman"/>
          <w:szCs w:val="20"/>
          <w:lang w:val="en-GB"/>
        </w:rPr>
        <w:t xml:space="preserve">have a uniform angular distribution </w:t>
      </w:r>
      <w:r w:rsidRPr="006F3F78">
        <w:rPr>
          <w:rFonts w:eastAsia="SimSun" w:cs="Times New Roman"/>
          <w:szCs w:val="20"/>
          <w:lang w:val="en-GB" w:eastAsia="zh-CN"/>
        </w:rPr>
        <w:t>within</w:t>
      </w:r>
      <w:r w:rsidRPr="006F3F78">
        <w:rPr>
          <w:rFonts w:eastAsia="SimSun" w:cs="Times New Roman"/>
          <w:szCs w:val="20"/>
          <w:lang w:val="en-GB"/>
        </w:rPr>
        <w:t xml:space="preserve"> the steering range of the IMT base station. </w:t>
      </w:r>
      <w:r w:rsidRPr="006F3F78">
        <w:rPr>
          <w:rFonts w:eastAsia="SimSun" w:cs="Times New Roman"/>
          <w:bCs/>
          <w:szCs w:val="20"/>
          <w:lang w:val="en-GB"/>
        </w:rPr>
        <w:t xml:space="preserve">For a given vertical angle </w:t>
      </w:r>
      <m:oMath>
        <m:sSub>
          <m:sSubPr>
            <m:ctrlPr>
              <w:rPr>
                <w:rFonts w:ascii="Cambria Math" w:eastAsia="SimSun" w:hAnsi="Cambria Math" w:cs="Times New Roman"/>
                <w:bCs/>
                <w:i/>
                <w:kern w:val="24"/>
                <w:szCs w:val="20"/>
                <w:lang w:val="en-GB"/>
              </w:rPr>
            </m:ctrlPr>
          </m:sSubPr>
          <m:e>
            <m:r>
              <w:rPr>
                <w:rFonts w:ascii="Cambria Math" w:eastAsia="SimSun" w:hAnsi="Cambria Math" w:cs="Times New Roman"/>
                <w:kern w:val="24"/>
                <w:szCs w:val="20"/>
                <w:lang w:val="en-GB"/>
              </w:rPr>
              <m:t>θ</m:t>
            </m:r>
          </m:e>
          <m:sub>
            <m:r>
              <w:rPr>
                <w:rFonts w:ascii="Cambria Math" w:eastAsia="SimSun" w:hAnsi="Cambria Math" w:cs="Times New Roman"/>
                <w:kern w:val="24"/>
                <w:szCs w:val="20"/>
                <w:lang w:val="en-GB"/>
              </w:rPr>
              <m:t>0</m:t>
            </m:r>
          </m:sub>
        </m:sSub>
      </m:oMath>
      <w:r w:rsidRPr="006F3F78">
        <w:rPr>
          <w:rFonts w:eastAsia="SimSun" w:cs="Times New Roman"/>
          <w:bCs/>
          <w:kern w:val="24"/>
          <w:szCs w:val="20"/>
          <w:lang w:val="en-GB"/>
        </w:rPr>
        <w:t xml:space="preserve"> and horizontal angle </w:t>
      </w:r>
      <m:oMath>
        <m:sSub>
          <m:sSubPr>
            <m:ctrlPr>
              <w:rPr>
                <w:rFonts w:ascii="Cambria Math" w:eastAsia="SimSun" w:hAnsi="Cambria Math" w:cs="Times New Roman"/>
                <w:bCs/>
                <w:i/>
                <w:kern w:val="24"/>
                <w:szCs w:val="20"/>
                <w:lang w:val="en-GB"/>
              </w:rPr>
            </m:ctrlPr>
          </m:sSubPr>
          <m:e>
            <m:r>
              <w:rPr>
                <w:rFonts w:ascii="Cambria Math" w:eastAsia="SimSun" w:hAnsi="Cambria Math" w:cs="Times New Roman"/>
                <w:kern w:val="24"/>
                <w:szCs w:val="20"/>
                <w:lang w:val="en-GB"/>
              </w:rPr>
              <m:t>φ</m:t>
            </m:r>
          </m:e>
          <m:sub>
            <m:r>
              <w:rPr>
                <w:rFonts w:ascii="Cambria Math" w:eastAsia="SimSun" w:hAnsi="Cambria Math" w:cs="Times New Roman"/>
                <w:kern w:val="24"/>
                <w:szCs w:val="20"/>
                <w:lang w:val="en-GB"/>
              </w:rPr>
              <m:t>0</m:t>
            </m:r>
          </m:sub>
        </m:sSub>
      </m:oMath>
      <w:r w:rsidRPr="006F3F78">
        <w:rPr>
          <w:rFonts w:eastAsia="Calibri" w:cs="Times New Roman"/>
          <w:bCs/>
          <w:szCs w:val="20"/>
          <w:lang w:val="en-GB"/>
        </w:rPr>
        <w:t xml:space="preserve"> with a</w:t>
      </w:r>
      <w:r w:rsidRPr="006F3F78">
        <w:rPr>
          <w:rFonts w:eastAsia="SimSun" w:cs="Times New Roman"/>
          <w:bCs/>
          <w:szCs w:val="20"/>
          <w:lang w:val="en-GB"/>
        </w:rPr>
        <w:t xml:space="preserve"> sampling of</w:t>
      </w:r>
      <w:r w:rsidRPr="006F3F78">
        <w:rPr>
          <w:rFonts w:eastAsia="SimSun" w:cs="Times New Roman"/>
          <w:bCs/>
          <w:i/>
          <w:szCs w:val="20"/>
          <w:lang w:val="en-GB"/>
        </w:rPr>
        <w:t xml:space="preserve"> </w:t>
      </w:r>
      <m:oMath>
        <m:r>
          <m:rPr>
            <m:sty m:val="p"/>
          </m:rPr>
          <w:rPr>
            <w:rFonts w:ascii="Cambria Math" w:eastAsia="SimSun" w:hAnsi="Cambria Math" w:cs="Times New Roman"/>
            <w:szCs w:val="20"/>
            <w:lang w:val="en-GB"/>
          </w:rPr>
          <m:t>N</m:t>
        </m:r>
      </m:oMath>
      <w:r w:rsidRPr="006F3F78">
        <w:rPr>
          <w:rFonts w:eastAsia="SimSun" w:cs="Times New Roman"/>
          <w:bCs/>
          <w:szCs w:val="20"/>
          <w:lang w:val="en-GB"/>
        </w:rPr>
        <w:t xml:space="preserve"> beamforming directions</w:t>
      </w:r>
      <m:oMath>
        <m:r>
          <w:rPr>
            <w:rFonts w:ascii="Cambria Math" w:eastAsia="SimSun" w:hAnsi="Cambria Math" w:cs="Times New Roman"/>
            <w:szCs w:val="20"/>
            <w:lang w:val="en-GB"/>
          </w:rPr>
          <m:t>(</m:t>
        </m:r>
        <m:sSub>
          <m:sSubPr>
            <m:ctrlPr>
              <w:rPr>
                <w:rFonts w:ascii="Cambria Math" w:eastAsia="SimSun" w:hAnsi="Cambria Math" w:cs="Times New Roman"/>
                <w:bCs/>
                <w:i/>
                <w:szCs w:val="20"/>
                <w:lang w:val="en-GB"/>
              </w:rPr>
            </m:ctrlPr>
          </m:sSubPr>
          <m:e>
            <m:r>
              <w:rPr>
                <w:rFonts w:ascii="Cambria Math" w:eastAsia="SimSun" w:hAnsi="Cambria Math" w:cs="Times New Roman"/>
                <w:szCs w:val="20"/>
                <w:lang w:val="en-GB"/>
              </w:rPr>
              <m:t>α</m:t>
            </m:r>
          </m:e>
          <m:sub>
            <m:r>
              <w:rPr>
                <w:rFonts w:ascii="Cambria Math" w:eastAsia="SimSun" w:hAnsi="Cambria Math" w:cs="Times New Roman"/>
                <w:szCs w:val="20"/>
                <w:lang w:val="en-GB"/>
              </w:rPr>
              <m:t>n</m:t>
            </m:r>
          </m:sub>
        </m:sSub>
        <m:r>
          <w:rPr>
            <w:rFonts w:ascii="Cambria Math" w:eastAsia="SimSun" w:hAnsi="Cambria Math" w:cs="Times New Roman"/>
            <w:szCs w:val="20"/>
            <w:lang w:val="en-GB"/>
          </w:rPr>
          <m:t>,</m:t>
        </m:r>
        <m:sSub>
          <m:sSubPr>
            <m:ctrlPr>
              <w:rPr>
                <w:rFonts w:ascii="Cambria Math" w:eastAsia="SimSun" w:hAnsi="Cambria Math" w:cs="Times New Roman"/>
                <w:bCs/>
                <w:i/>
                <w:szCs w:val="20"/>
                <w:lang w:val="en-GB"/>
              </w:rPr>
            </m:ctrlPr>
          </m:sSubPr>
          <m:e>
            <m:r>
              <w:rPr>
                <w:rFonts w:ascii="Cambria Math" w:eastAsia="SimSun" w:hAnsi="Cambria Math" w:cs="Times New Roman"/>
                <w:szCs w:val="20"/>
                <w:lang w:val="en-GB"/>
              </w:rPr>
              <m:t>β</m:t>
            </m:r>
          </m:e>
          <m:sub>
            <m:r>
              <w:rPr>
                <w:rFonts w:ascii="Cambria Math" w:eastAsia="SimSun" w:hAnsi="Cambria Math" w:cs="Times New Roman"/>
                <w:szCs w:val="20"/>
                <w:lang w:val="en-GB"/>
              </w:rPr>
              <m:t>n</m:t>
            </m:r>
          </m:sub>
        </m:sSub>
        <m:r>
          <w:rPr>
            <w:rFonts w:ascii="Cambria Math" w:eastAsia="SimSun" w:hAnsi="Cambria Math" w:cs="Times New Roman"/>
            <w:szCs w:val="20"/>
            <w:lang w:val="en-GB"/>
          </w:rPr>
          <m:t>)</m:t>
        </m:r>
      </m:oMath>
      <w:r w:rsidRPr="006F3F78">
        <w:rPr>
          <w:rFonts w:eastAsia="Calibri" w:cs="Times New Roman"/>
          <w:bCs/>
          <w:szCs w:val="20"/>
          <w:lang w:val="en-GB"/>
        </w:rPr>
        <w:t xml:space="preserve"> </w:t>
      </w:r>
      <m:oMath>
        <m:r>
          <w:rPr>
            <w:rFonts w:ascii="Cambria Math" w:eastAsia="SimSun" w:hAnsi="Cambria Math" w:cs="Times New Roman"/>
            <w:szCs w:val="20"/>
            <w:lang w:val="en-GB"/>
          </w:rPr>
          <m:t>n=1…N</m:t>
        </m:r>
      </m:oMath>
      <w:r w:rsidRPr="006F3F78">
        <w:rPr>
          <w:rFonts w:eastAsia="SimSun" w:cs="Times New Roman"/>
          <w:szCs w:val="20"/>
          <w:lang w:val="en-GB"/>
        </w:rPr>
        <w:t>, the equation can be written as</w:t>
      </w:r>
      <w:r w:rsidRPr="006F3F78">
        <w:rPr>
          <w:rFonts w:eastAsia="Calibri" w:cs="Times New Roman"/>
          <w:szCs w:val="20"/>
          <w:lang w:val="en-GB"/>
        </w:rPr>
        <w:t>:</w:t>
      </w:r>
    </w:p>
    <w:p w14:paraId="2F9D4B63" w14:textId="77777777" w:rsidR="006F3F78" w:rsidRPr="006F3F78" w:rsidRDefault="00000000" w:rsidP="006F3F78">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Arial"/>
          <w:i/>
          <w:iCs/>
          <w:szCs w:val="20"/>
          <w:lang w:val="en-GB"/>
        </w:rPr>
      </w:pPr>
      <m:oMathPara>
        <m:oMathParaPr>
          <m:jc m:val="center"/>
        </m:oMathParaPr>
        <m:oMath>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P</m:t>
              </m:r>
            </m:e>
            <m:sub>
              <m:r>
                <w:rPr>
                  <w:rFonts w:ascii="Cambria Math" w:eastAsia="SimSun" w:hAnsi="Cambria Math" w:cs="Arial"/>
                  <w:szCs w:val="20"/>
                  <w:lang w:val="en-GB"/>
                </w:rPr>
                <m:t>ave</m:t>
              </m:r>
            </m:sub>
          </m:sSub>
          <m:d>
            <m:dPr>
              <m:ctrlPr>
                <w:rPr>
                  <w:rFonts w:ascii="Cambria Math" w:eastAsia="SimSun" w:hAnsi="Cambria Math" w:cs="Times New Roman"/>
                  <w:i/>
                  <w:sz w:val="24"/>
                  <w:szCs w:val="20"/>
                  <w:lang w:val="en-GB"/>
                </w:rPr>
              </m:ctrlPr>
            </m:dPr>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e>
          </m:d>
          <m:r>
            <w:rPr>
              <w:rFonts w:ascii="Cambria Math" w:eastAsia="SimSun" w:hAnsi="Cambria Math" w:cs="Arial"/>
              <w:szCs w:val="20"/>
              <w:lang w:val="en-GB"/>
            </w:rPr>
            <m:t>=</m:t>
          </m:r>
          <m:nary>
            <m:naryPr>
              <m:chr m:val="∑"/>
              <m:limLoc m:val="undOvr"/>
              <m:ctrlPr>
                <w:rPr>
                  <w:rFonts w:ascii="Cambria Math" w:eastAsia="Times New Roman" w:hAnsi="Cambria Math" w:cs="Times New Roman"/>
                  <w:i/>
                  <w:iCs/>
                  <w:sz w:val="24"/>
                  <w:szCs w:val="20"/>
                  <w:lang w:val="en-GB"/>
                </w:rPr>
              </m:ctrlPr>
            </m:naryPr>
            <m:sub>
              <m:r>
                <w:rPr>
                  <w:rFonts w:ascii="Cambria Math" w:eastAsia="Times New Roman" w:hAnsi="Cambria Math" w:cs="Arial"/>
                  <w:szCs w:val="20"/>
                  <w:lang w:val="en-GB"/>
                </w:rPr>
                <m:t>n=1</m:t>
              </m:r>
            </m:sub>
            <m:sup>
              <m:r>
                <w:rPr>
                  <w:rFonts w:ascii="Cambria Math" w:eastAsia="Times New Roman" w:hAnsi="Cambria Math" w:cs="Arial"/>
                  <w:szCs w:val="20"/>
                  <w:lang w:val="en-GB"/>
                </w:rPr>
                <m:t>N</m:t>
              </m:r>
            </m:sup>
            <m:e>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w</m:t>
                  </m:r>
                </m:e>
                <m:sub>
                  <m:r>
                    <w:rPr>
                      <w:rFonts w:ascii="Cambria Math" w:eastAsia="Times New Roman" w:hAnsi="Cambria Math" w:cs="Arial"/>
                      <w:szCs w:val="20"/>
                      <w:lang w:val="en-GB"/>
                    </w:rPr>
                    <m:t>n</m:t>
                  </m:r>
                </m:sub>
              </m:sSub>
              <m:r>
                <w:rPr>
                  <w:rFonts w:ascii="Cambria Math" w:eastAsia="Times New Roman" w:hAnsi="Cambria Math" w:cs="Arial"/>
                  <w:szCs w:val="20"/>
                  <w:lang w:val="en-GB"/>
                </w:rPr>
                <m:t>P</m:t>
              </m:r>
              <m:d>
                <m:dPr>
                  <m:ctrlPr>
                    <w:rPr>
                      <w:rFonts w:ascii="Cambria Math" w:eastAsia="Times New Roman" w:hAnsi="Cambria Math" w:cs="Times New Roman"/>
                      <w:i/>
                      <w:sz w:val="24"/>
                      <w:szCs w:val="20"/>
                      <w:lang w:val="en-GB"/>
                    </w:rPr>
                  </m:ctrlPr>
                </m:dPr>
                <m:e>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θ</m:t>
                      </m:r>
                    </m:e>
                    <m:sub>
                      <m:r>
                        <w:rPr>
                          <w:rFonts w:ascii="Cambria Math" w:eastAsia="Times New Roman" w:hAnsi="Cambria Math" w:cs="Arial"/>
                          <w:szCs w:val="20"/>
                          <w:lang w:val="en-GB"/>
                        </w:rPr>
                        <m:t>0</m:t>
                      </m:r>
                    </m:sub>
                  </m:sSub>
                  <m:r>
                    <w:rPr>
                      <w:rFonts w:ascii="Cambria Math" w:eastAsia="Times New Roman" w:hAnsi="Cambria Math" w:cs="Arial"/>
                      <w:szCs w:val="20"/>
                      <w:lang w:val="en-GB"/>
                    </w:rPr>
                    <m:t>,</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φ</m:t>
                      </m:r>
                    </m:e>
                    <m:sub>
                      <m:r>
                        <w:rPr>
                          <w:rFonts w:ascii="Cambria Math" w:eastAsia="Times New Roman" w:hAnsi="Cambria Math" w:cs="Arial"/>
                          <w:szCs w:val="20"/>
                          <w:lang w:val="en-GB"/>
                        </w:rPr>
                        <m:t>0</m:t>
                      </m:r>
                    </m:sub>
                  </m:sSub>
                  <m:r>
                    <w:rPr>
                      <w:rFonts w:ascii="Cambria Math" w:eastAsia="Times New Roman" w:hAnsi="Cambria Math" w:cs="Arial"/>
                      <w:szCs w:val="20"/>
                      <w:lang w:val="en-GB"/>
                    </w:rPr>
                    <m:t xml:space="preserve"> ; </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α</m:t>
                      </m:r>
                    </m:e>
                    <m:sub>
                      <m:r>
                        <w:rPr>
                          <w:rFonts w:ascii="Cambria Math" w:eastAsia="Times New Roman" w:hAnsi="Cambria Math" w:cs="Arial"/>
                          <w:szCs w:val="20"/>
                          <w:lang w:val="en-GB"/>
                        </w:rPr>
                        <m:t>n</m:t>
                      </m:r>
                    </m:sub>
                  </m:sSub>
                  <m:r>
                    <w:rPr>
                      <w:rFonts w:ascii="Cambria Math" w:eastAsia="Times New Roman" w:hAnsi="Cambria Math" w:cs="Arial"/>
                      <w:szCs w:val="20"/>
                      <w:lang w:val="en-GB"/>
                    </w:rPr>
                    <m:t>,</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β</m:t>
                      </m:r>
                    </m:e>
                    <m:sub>
                      <m:r>
                        <w:rPr>
                          <w:rFonts w:ascii="Cambria Math" w:eastAsia="Times New Roman" w:hAnsi="Cambria Math" w:cs="Arial"/>
                          <w:szCs w:val="20"/>
                          <w:lang w:val="en-GB"/>
                        </w:rPr>
                        <m:t>n</m:t>
                      </m:r>
                    </m:sub>
                  </m:sSub>
                </m:e>
              </m:d>
            </m:e>
          </m:nary>
        </m:oMath>
      </m:oMathPara>
    </w:p>
    <w:p w14:paraId="5BFC963C" w14:textId="77777777" w:rsidR="006F3F78" w:rsidRPr="006F3F78" w:rsidRDefault="006F3F78" w:rsidP="006F3F78">
      <w:pPr>
        <w:tabs>
          <w:tab w:val="left" w:pos="2608"/>
          <w:tab w:val="left" w:pos="3345"/>
        </w:tabs>
        <w:jc w:val="both"/>
        <w:rPr>
          <w:rFonts w:eastAsia="SimSun" w:cs="Times New Roman"/>
          <w:szCs w:val="20"/>
          <w:lang w:val="en-GB"/>
        </w:rPr>
      </w:pPr>
      <w:r w:rsidRPr="006F3F78">
        <w:rPr>
          <w:rFonts w:eastAsia="SimSun" w:cs="Times New Roman"/>
          <w:szCs w:val="20"/>
          <w:lang w:val="en-GB"/>
        </w:rPr>
        <w:t xml:space="preserve">where </w:t>
      </w:r>
      <w:proofErr w:type="spellStart"/>
      <w:r w:rsidRPr="006F3F78">
        <w:rPr>
          <w:rFonts w:eastAsia="SimSun" w:cs="Times New Roman"/>
          <w:i/>
          <w:iCs/>
          <w:szCs w:val="20"/>
          <w:lang w:val="en-GB"/>
        </w:rPr>
        <w:t>w</w:t>
      </w:r>
      <w:r w:rsidRPr="006F3F78">
        <w:rPr>
          <w:rFonts w:eastAsia="SimSun" w:cs="Times New Roman"/>
          <w:i/>
          <w:iCs/>
          <w:szCs w:val="20"/>
          <w:vertAlign w:val="subscript"/>
          <w:lang w:val="en-GB"/>
        </w:rPr>
        <w:t>n</w:t>
      </w:r>
      <w:proofErr w:type="spellEnd"/>
      <w:r w:rsidRPr="006F3F78">
        <w:rPr>
          <w:rFonts w:eastAsia="SimSun" w:cs="Times New Roman"/>
          <w:szCs w:val="20"/>
          <w:lang w:val="en-GB"/>
        </w:rPr>
        <w:t xml:space="preserve"> refers to the weight for the </w:t>
      </w:r>
      <m:oMath>
        <m:r>
          <w:rPr>
            <w:rFonts w:ascii="Cambria Math" w:eastAsia="SimSun" w:hAnsi="Cambria Math" w:cs="Times New Roman"/>
            <w:szCs w:val="20"/>
            <w:lang w:val="en-GB"/>
          </w:rPr>
          <m:t>n</m:t>
        </m:r>
      </m:oMath>
      <w:r w:rsidRPr="006F3F78">
        <w:rPr>
          <w:rFonts w:eastAsia="SimSun" w:cs="Times New Roman"/>
          <w:szCs w:val="20"/>
          <w:vertAlign w:val="superscript"/>
          <w:lang w:val="en-GB"/>
        </w:rPr>
        <w:t>th</w:t>
      </w:r>
      <w:r w:rsidRPr="006F3F78">
        <w:rPr>
          <w:rFonts w:eastAsia="SimSun" w:cs="Times New Roman"/>
          <w:szCs w:val="20"/>
          <w:lang w:val="en-GB"/>
        </w:rPr>
        <w:t xml:space="preserve"> beamforming direction, i.e., the fraction of the steering range represented by the </w:t>
      </w:r>
      <m:oMath>
        <m:r>
          <w:rPr>
            <w:rFonts w:ascii="Cambria Math" w:eastAsia="SimSun" w:hAnsi="Cambria Math" w:cs="Times New Roman"/>
            <w:szCs w:val="20"/>
            <w:lang w:val="en-GB"/>
          </w:rPr>
          <m:t>n</m:t>
        </m:r>
      </m:oMath>
      <w:r w:rsidRPr="006F3F78">
        <w:rPr>
          <w:rFonts w:eastAsia="SimSun" w:cs="Times New Roman"/>
          <w:szCs w:val="20"/>
          <w:vertAlign w:val="superscript"/>
          <w:lang w:val="en-GB"/>
        </w:rPr>
        <w:t>th</w:t>
      </w:r>
      <w:r w:rsidRPr="006F3F78">
        <w:rPr>
          <w:rFonts w:eastAsia="SimSun" w:cs="Times New Roman"/>
          <w:szCs w:val="20"/>
          <w:lang w:val="en-GB"/>
        </w:rPr>
        <w:t xml:space="preserve"> beamforming direction. The power measured is the sum of e.i.r.p. in both polarisations.</w:t>
      </w:r>
    </w:p>
    <w:p w14:paraId="20A8616A" w14:textId="76ADE1F7" w:rsidR="0005688A" w:rsidRPr="006F3F78" w:rsidRDefault="006F3F78" w:rsidP="006F3F78">
      <w:pPr>
        <w:tabs>
          <w:tab w:val="left" w:pos="2608"/>
          <w:tab w:val="left" w:pos="3345"/>
        </w:tabs>
        <w:jc w:val="both"/>
        <w:rPr>
          <w:rFonts w:eastAsia="SimSun" w:cs="Times New Roman"/>
          <w:szCs w:val="20"/>
          <w:lang w:val="en-GB"/>
        </w:rPr>
      </w:pPr>
      <w:r w:rsidRPr="006F3F78">
        <w:rPr>
          <w:rFonts w:eastAsia="SimSun" w:cs="Times New Roman"/>
          <w:szCs w:val="20"/>
          <w:lang w:val="en-GB"/>
        </w:rPr>
        <w:t>The following example illustrate the associated weights for different number of beamforming directions, and how the average e.i.r.p. for the first stage is calculated.</w:t>
      </w:r>
    </w:p>
    <w:p w14:paraId="575839BE" w14:textId="229E7ED4" w:rsidR="00E06AF9" w:rsidRDefault="00CD6020" w:rsidP="0005688A">
      <w:pPr>
        <w:pStyle w:val="RAN4H3"/>
        <w:numPr>
          <w:ilvl w:val="3"/>
          <w:numId w:val="17"/>
        </w:numPr>
        <w:ind w:left="709" w:hanging="709"/>
        <w:rPr>
          <w:lang w:val="en-GB"/>
        </w:rPr>
      </w:pPr>
      <w:r>
        <w:rPr>
          <w:lang w:val="en-GB"/>
        </w:rPr>
        <w:t>Example of average e.i.r.p. calculation</w:t>
      </w:r>
    </w:p>
    <w:p w14:paraId="7DEF11B9" w14:textId="5A68B541" w:rsidR="00CD6020" w:rsidRDefault="00CD6020" w:rsidP="00AB1C73">
      <w:pPr>
        <w:rPr>
          <w:lang w:val="en-GB"/>
        </w:rPr>
      </w:pPr>
      <w:r w:rsidRPr="00CD6020">
        <w:rPr>
          <w:lang w:val="en-GB"/>
        </w:rPr>
        <w:t xml:space="preserve">This example has 6 beamforming directions. The </w:t>
      </w:r>
      <w:r>
        <w:rPr>
          <w:lang w:val="en-GB"/>
        </w:rPr>
        <w:t>F</w:t>
      </w:r>
      <w:r w:rsidRPr="00CD6020">
        <w:rPr>
          <w:lang w:val="en-GB"/>
        </w:rPr>
        <w:t xml:space="preserve">igure </w:t>
      </w:r>
      <w:r>
        <w:rPr>
          <w:lang w:val="en-GB"/>
        </w:rPr>
        <w:t xml:space="preserve">2 </w:t>
      </w:r>
      <w:r w:rsidRPr="00CD6020">
        <w:rPr>
          <w:lang w:val="en-GB"/>
        </w:rPr>
        <w:t xml:space="preserve">shows the electrical steering range, and </w:t>
      </w:r>
      <w:r>
        <w:rPr>
          <w:lang w:val="en-GB"/>
        </w:rPr>
        <w:t xml:space="preserve">Figure 3 </w:t>
      </w:r>
      <w:r w:rsidRPr="00CD6020">
        <w:rPr>
          <w:lang w:val="en-GB"/>
        </w:rPr>
        <w:t>the beamforming directions with its weight. The weight for each beamforming direction is a simple representation of the fractional area covered by the angular boundaries, and it does not account for the variation due to the elevation. It can be regarded that each of the fractional area represents the probability of the beam electrically steering within these angles.</w:t>
      </w:r>
    </w:p>
    <w:p w14:paraId="6D884F72" w14:textId="77777777" w:rsidR="00CD6020" w:rsidRDefault="00CD6020" w:rsidP="00CD6020">
      <w:pPr>
        <w:rPr>
          <w:lang w:val="en-GB"/>
        </w:rPr>
      </w:pPr>
      <w:r w:rsidRPr="00CD6020">
        <w:rPr>
          <w:lang w:val="en-GB"/>
        </w:rPr>
        <w:t xml:space="preserve">      </w:t>
      </w:r>
    </w:p>
    <w:p w14:paraId="2C73A06B" w14:textId="6ADDFF90" w:rsidR="00CD6020" w:rsidRPr="00CD6020" w:rsidRDefault="00CD6020" w:rsidP="00CD6020">
      <w:pPr>
        <w:jc w:val="center"/>
        <w:rPr>
          <w:lang w:val="en-GB"/>
        </w:rPr>
      </w:pPr>
      <w:r>
        <w:rPr>
          <w:noProof/>
        </w:rPr>
        <w:drawing>
          <wp:inline distT="0" distB="0" distL="0" distR="0" wp14:anchorId="61A21738" wp14:editId="2261AC5E">
            <wp:extent cx="2762454" cy="1739323"/>
            <wp:effectExtent l="0" t="0" r="0" b="0"/>
            <wp:docPr id="1886754502" name="Picture 1" descr="A graph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754502" name="Picture 1" descr="A graph with text on it&#10;&#10;Description automatically generated"/>
                    <pic:cNvPicPr/>
                  </pic:nvPicPr>
                  <pic:blipFill>
                    <a:blip r:embed="rId14"/>
                    <a:stretch>
                      <a:fillRect/>
                    </a:stretch>
                  </pic:blipFill>
                  <pic:spPr>
                    <a:xfrm>
                      <a:off x="0" y="0"/>
                      <a:ext cx="2795071" cy="1759860"/>
                    </a:xfrm>
                    <a:prstGeom prst="rect">
                      <a:avLst/>
                    </a:prstGeom>
                  </pic:spPr>
                </pic:pic>
              </a:graphicData>
            </a:graphic>
          </wp:inline>
        </w:drawing>
      </w:r>
    </w:p>
    <w:p w14:paraId="215CB3B7" w14:textId="56B62497" w:rsidR="00CD6020" w:rsidRPr="00CD6020" w:rsidRDefault="00CD6020" w:rsidP="00CD6020">
      <w:pPr>
        <w:jc w:val="center"/>
        <w:rPr>
          <w:b/>
          <w:bCs/>
          <w:lang w:val="en-GB"/>
        </w:rPr>
      </w:pPr>
      <w:r w:rsidRPr="00CD6020">
        <w:rPr>
          <w:b/>
          <w:bCs/>
          <w:lang w:val="en-GB"/>
        </w:rPr>
        <w:t>Figure 2: Electrical steering range</w:t>
      </w:r>
    </w:p>
    <w:p w14:paraId="25C2A892" w14:textId="1EE77B90" w:rsidR="00CD6020" w:rsidRDefault="00CD6020" w:rsidP="00CD6020">
      <w:pPr>
        <w:jc w:val="center"/>
        <w:rPr>
          <w:lang w:val="en-GB"/>
        </w:rPr>
      </w:pPr>
      <w:r>
        <w:rPr>
          <w:noProof/>
        </w:rPr>
        <w:lastRenderedPageBreak/>
        <w:drawing>
          <wp:inline distT="0" distB="0" distL="0" distR="0" wp14:anchorId="1CD3B584" wp14:editId="00E74DE4">
            <wp:extent cx="2750127" cy="1759521"/>
            <wp:effectExtent l="0" t="0" r="0" b="0"/>
            <wp:docPr id="647052830" name="Picture 1" descr="A diagram of poin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052830" name="Picture 1" descr="A diagram of points and lines&#10;&#10;Description automatically generated"/>
                    <pic:cNvPicPr/>
                  </pic:nvPicPr>
                  <pic:blipFill>
                    <a:blip r:embed="rId15"/>
                    <a:stretch>
                      <a:fillRect/>
                    </a:stretch>
                  </pic:blipFill>
                  <pic:spPr>
                    <a:xfrm>
                      <a:off x="0" y="0"/>
                      <a:ext cx="2809173" cy="1797298"/>
                    </a:xfrm>
                    <a:prstGeom prst="rect">
                      <a:avLst/>
                    </a:prstGeom>
                  </pic:spPr>
                </pic:pic>
              </a:graphicData>
            </a:graphic>
          </wp:inline>
        </w:drawing>
      </w:r>
    </w:p>
    <w:p w14:paraId="0136CFE4" w14:textId="644AAA39" w:rsidR="006F3F78" w:rsidRDefault="00CD6020" w:rsidP="00CD6020">
      <w:pPr>
        <w:jc w:val="center"/>
        <w:rPr>
          <w:b/>
          <w:bCs/>
          <w:lang w:val="en-GB"/>
        </w:rPr>
      </w:pPr>
      <w:r w:rsidRPr="00CD6020">
        <w:rPr>
          <w:b/>
          <w:bCs/>
          <w:lang w:val="en-GB"/>
        </w:rPr>
        <w:t>Figure 3: Beamforming directions and its associated weight</w:t>
      </w:r>
    </w:p>
    <w:p w14:paraId="0364FD1A" w14:textId="77777777" w:rsidR="00CD6020" w:rsidRDefault="00CD6020" w:rsidP="00CD6020">
      <w:pPr>
        <w:jc w:val="center"/>
        <w:rPr>
          <w:b/>
          <w:bCs/>
          <w:lang w:val="en-GB"/>
        </w:rPr>
      </w:pPr>
    </w:p>
    <w:p w14:paraId="63930421" w14:textId="61662A59" w:rsidR="00CD6020" w:rsidRPr="00CD6020" w:rsidRDefault="00CD6020" w:rsidP="00CD6020">
      <w:pPr>
        <w:jc w:val="center"/>
        <w:rPr>
          <w:b/>
          <w:bCs/>
          <w:lang w:val="en-GB"/>
        </w:rPr>
      </w:pPr>
      <w:r>
        <w:rPr>
          <w:b/>
          <w:bCs/>
          <w:lang w:val="en-GB"/>
        </w:rPr>
        <w:t xml:space="preserve">Table 2: </w:t>
      </w:r>
      <w:r w:rsidRPr="00CD6020">
        <w:rPr>
          <w:b/>
          <w:bCs/>
          <w:lang w:val="en-GB"/>
        </w:rPr>
        <w:t>The weight for each beamforming direction</w:t>
      </w:r>
      <w:r>
        <w:rPr>
          <w:b/>
          <w:bCs/>
          <w:lang w:val="en-GB"/>
        </w:rPr>
        <w:t xml:space="preserve"> point</w:t>
      </w:r>
    </w:p>
    <w:tbl>
      <w:tblPr>
        <w:tblStyle w:val="TableGrid1"/>
        <w:tblW w:w="0" w:type="auto"/>
        <w:jc w:val="center"/>
        <w:tblLook w:val="04A0" w:firstRow="1" w:lastRow="0" w:firstColumn="1" w:lastColumn="0" w:noHBand="0" w:noVBand="1"/>
      </w:tblPr>
      <w:tblGrid>
        <w:gridCol w:w="846"/>
        <w:gridCol w:w="1276"/>
        <w:gridCol w:w="1134"/>
        <w:gridCol w:w="1134"/>
      </w:tblGrid>
      <w:tr w:rsidR="00CD6020" w:rsidRPr="00CD6020" w14:paraId="18F0B4A8" w14:textId="77777777" w:rsidTr="00C411A6">
        <w:trPr>
          <w:jc w:val="center"/>
        </w:trPr>
        <w:tc>
          <w:tcPr>
            <w:tcW w:w="846" w:type="dxa"/>
          </w:tcPr>
          <w:p w14:paraId="10DB3578" w14:textId="77777777" w:rsidR="00CD6020" w:rsidRPr="00CD6020" w:rsidRDefault="00CD6020" w:rsidP="00CD6020">
            <w:pPr>
              <w:spacing w:after="160"/>
              <w:jc w:val="center"/>
              <w:rPr>
                <w:rFonts w:eastAsia="Calibri" w:cs="Times New Roman"/>
                <w:b/>
                <w:bCs/>
                <w:szCs w:val="20"/>
                <w:lang w:val="en-GB"/>
              </w:rPr>
            </w:pPr>
            <w:r w:rsidRPr="00CD6020">
              <w:rPr>
                <w:rFonts w:eastAsia="Calibri" w:cs="Times New Roman"/>
                <w:b/>
                <w:bCs/>
                <w:szCs w:val="20"/>
                <w:lang w:val="en-GB"/>
              </w:rPr>
              <w:t>Point</w:t>
            </w:r>
          </w:p>
        </w:tc>
        <w:tc>
          <w:tcPr>
            <w:tcW w:w="1276" w:type="dxa"/>
          </w:tcPr>
          <w:p w14:paraId="449EED5F" w14:textId="77777777" w:rsidR="00CD6020" w:rsidRPr="00CD6020" w:rsidRDefault="00CD6020" w:rsidP="00CD6020">
            <w:pPr>
              <w:spacing w:after="160"/>
              <w:jc w:val="center"/>
              <w:rPr>
                <w:rFonts w:eastAsia="Calibri" w:cs="Times New Roman"/>
                <w:b/>
                <w:bCs/>
                <w:szCs w:val="20"/>
                <w:lang w:val="en-GB"/>
              </w:rPr>
            </w:pPr>
            <w:r w:rsidRPr="00CD6020">
              <w:rPr>
                <w:rFonts w:eastAsia="Calibri" w:cs="Times New Roman"/>
                <w:b/>
                <w:bCs/>
                <w:szCs w:val="20"/>
                <w:lang w:val="en-GB"/>
              </w:rPr>
              <w:t xml:space="preserve">Weight, </w:t>
            </w:r>
            <w:proofErr w:type="spellStart"/>
            <w:r w:rsidRPr="00CD6020">
              <w:rPr>
                <w:rFonts w:eastAsia="Calibri" w:cs="Times New Roman"/>
                <w:b/>
                <w:bCs/>
                <w:szCs w:val="20"/>
                <w:lang w:val="en-GB"/>
              </w:rPr>
              <w:t>w</w:t>
            </w:r>
            <w:r w:rsidRPr="00CD6020">
              <w:rPr>
                <w:rFonts w:eastAsia="Calibri" w:cs="Times New Roman"/>
                <w:b/>
                <w:bCs/>
                <w:szCs w:val="20"/>
                <w:vertAlign w:val="subscript"/>
                <w:lang w:val="en-GB"/>
              </w:rPr>
              <w:t>n</w:t>
            </w:r>
            <w:proofErr w:type="spellEnd"/>
          </w:p>
        </w:tc>
        <w:tc>
          <w:tcPr>
            <w:tcW w:w="1134" w:type="dxa"/>
          </w:tcPr>
          <w:p w14:paraId="200538DE" w14:textId="77777777" w:rsidR="00CD6020" w:rsidRPr="00CD6020" w:rsidRDefault="00CD6020" w:rsidP="00CD6020">
            <w:pPr>
              <w:spacing w:after="160"/>
              <w:jc w:val="center"/>
              <w:rPr>
                <w:rFonts w:eastAsia="Calibri" w:cs="Times New Roman"/>
                <w:b/>
                <w:bCs/>
                <w:szCs w:val="20"/>
                <w:lang w:val="en-GB"/>
              </w:rPr>
            </w:pPr>
            <w:r w:rsidRPr="00CD6020">
              <w:rPr>
                <w:rFonts w:eastAsia="Calibri" w:cs="Times New Roman"/>
                <w:b/>
                <w:bCs/>
                <w:szCs w:val="20"/>
                <w:lang w:val="en-GB"/>
              </w:rPr>
              <w:t>θ (°)</w:t>
            </w:r>
          </w:p>
        </w:tc>
        <w:tc>
          <w:tcPr>
            <w:tcW w:w="1134" w:type="dxa"/>
          </w:tcPr>
          <w:p w14:paraId="036370F2" w14:textId="77777777" w:rsidR="00CD6020" w:rsidRPr="00CD6020" w:rsidRDefault="00CD6020" w:rsidP="00CD6020">
            <w:pPr>
              <w:spacing w:after="160"/>
              <w:jc w:val="center"/>
              <w:rPr>
                <w:rFonts w:eastAsia="Calibri" w:cs="Times New Roman"/>
                <w:b/>
                <w:bCs/>
                <w:szCs w:val="20"/>
                <w:lang w:val="en-GB"/>
              </w:rPr>
            </w:pPr>
            <w:r w:rsidRPr="00CD6020">
              <w:rPr>
                <w:rFonts w:eastAsia="Calibri" w:cs="Times New Roman"/>
                <w:b/>
                <w:bCs/>
                <w:szCs w:val="20"/>
                <w:lang w:val="en-GB"/>
              </w:rPr>
              <w:t>ϕ (°)</w:t>
            </w:r>
          </w:p>
        </w:tc>
      </w:tr>
      <w:tr w:rsidR="00CD6020" w:rsidRPr="00CD6020" w14:paraId="67C09F05" w14:textId="77777777" w:rsidTr="00C411A6">
        <w:trPr>
          <w:jc w:val="center"/>
        </w:trPr>
        <w:tc>
          <w:tcPr>
            <w:tcW w:w="846" w:type="dxa"/>
          </w:tcPr>
          <w:p w14:paraId="654F421B" w14:textId="77777777" w:rsidR="00CD6020" w:rsidRPr="00CD6020" w:rsidRDefault="00CD6020" w:rsidP="00CD6020">
            <w:pPr>
              <w:spacing w:after="160"/>
              <w:jc w:val="center"/>
              <w:rPr>
                <w:rFonts w:eastAsia="Calibri" w:cs="Times New Roman"/>
                <w:b/>
                <w:bCs/>
                <w:szCs w:val="20"/>
                <w:lang w:val="en-GB"/>
              </w:rPr>
            </w:pPr>
            <w:r w:rsidRPr="00CD6020">
              <w:rPr>
                <w:rFonts w:eastAsia="Calibri" w:cs="Times New Roman"/>
                <w:b/>
                <w:bCs/>
                <w:szCs w:val="20"/>
                <w:lang w:val="en-GB"/>
              </w:rPr>
              <w:t>1</w:t>
            </w:r>
          </w:p>
        </w:tc>
        <w:tc>
          <w:tcPr>
            <w:tcW w:w="1276" w:type="dxa"/>
          </w:tcPr>
          <w:p w14:paraId="2CA8050A"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0.125</w:t>
            </w:r>
          </w:p>
        </w:tc>
        <w:tc>
          <w:tcPr>
            <w:tcW w:w="1134" w:type="dxa"/>
          </w:tcPr>
          <w:p w14:paraId="44D61471"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-2.5</w:t>
            </w:r>
          </w:p>
        </w:tc>
        <w:tc>
          <w:tcPr>
            <w:tcW w:w="1134" w:type="dxa"/>
          </w:tcPr>
          <w:p w14:paraId="63DB1BA6"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-45</w:t>
            </w:r>
          </w:p>
        </w:tc>
      </w:tr>
      <w:tr w:rsidR="00CD6020" w:rsidRPr="00CD6020" w14:paraId="001C68F2" w14:textId="77777777" w:rsidTr="00C411A6">
        <w:trPr>
          <w:jc w:val="center"/>
        </w:trPr>
        <w:tc>
          <w:tcPr>
            <w:tcW w:w="846" w:type="dxa"/>
          </w:tcPr>
          <w:p w14:paraId="63A17C59" w14:textId="77777777" w:rsidR="00CD6020" w:rsidRPr="00CD6020" w:rsidRDefault="00CD6020" w:rsidP="00CD6020">
            <w:pPr>
              <w:spacing w:after="160"/>
              <w:jc w:val="center"/>
              <w:rPr>
                <w:rFonts w:eastAsia="Calibri" w:cs="Times New Roman"/>
                <w:b/>
                <w:bCs/>
                <w:szCs w:val="20"/>
                <w:lang w:val="en-GB"/>
              </w:rPr>
            </w:pPr>
            <w:r w:rsidRPr="00CD6020">
              <w:rPr>
                <w:rFonts w:eastAsia="Calibri" w:cs="Times New Roman"/>
                <w:b/>
                <w:bCs/>
                <w:szCs w:val="20"/>
                <w:lang w:val="en-GB"/>
              </w:rPr>
              <w:t>2</w:t>
            </w:r>
          </w:p>
        </w:tc>
        <w:tc>
          <w:tcPr>
            <w:tcW w:w="1276" w:type="dxa"/>
          </w:tcPr>
          <w:p w14:paraId="452C5400"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0.125</w:t>
            </w:r>
          </w:p>
        </w:tc>
        <w:tc>
          <w:tcPr>
            <w:tcW w:w="1134" w:type="dxa"/>
          </w:tcPr>
          <w:p w14:paraId="509F4C88"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-7.5</w:t>
            </w:r>
          </w:p>
        </w:tc>
        <w:tc>
          <w:tcPr>
            <w:tcW w:w="1134" w:type="dxa"/>
          </w:tcPr>
          <w:p w14:paraId="0A47D0A8"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-45</w:t>
            </w:r>
          </w:p>
        </w:tc>
      </w:tr>
      <w:tr w:rsidR="00CD6020" w:rsidRPr="00CD6020" w14:paraId="79229ACF" w14:textId="77777777" w:rsidTr="00C411A6">
        <w:trPr>
          <w:jc w:val="center"/>
        </w:trPr>
        <w:tc>
          <w:tcPr>
            <w:tcW w:w="846" w:type="dxa"/>
          </w:tcPr>
          <w:p w14:paraId="5CF2A9F5" w14:textId="77777777" w:rsidR="00CD6020" w:rsidRPr="00CD6020" w:rsidRDefault="00CD6020" w:rsidP="00CD6020">
            <w:pPr>
              <w:spacing w:after="160"/>
              <w:jc w:val="center"/>
              <w:rPr>
                <w:rFonts w:eastAsia="Calibri" w:cs="Times New Roman"/>
                <w:b/>
                <w:bCs/>
                <w:szCs w:val="20"/>
                <w:lang w:val="en-GB"/>
              </w:rPr>
            </w:pPr>
            <w:r w:rsidRPr="00CD6020">
              <w:rPr>
                <w:rFonts w:eastAsia="Calibri" w:cs="Times New Roman"/>
                <w:b/>
                <w:bCs/>
                <w:szCs w:val="20"/>
                <w:lang w:val="en-GB"/>
              </w:rPr>
              <w:t>3</w:t>
            </w:r>
          </w:p>
        </w:tc>
        <w:tc>
          <w:tcPr>
            <w:tcW w:w="1276" w:type="dxa"/>
          </w:tcPr>
          <w:p w14:paraId="646F15FD"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0.25</w:t>
            </w:r>
          </w:p>
        </w:tc>
        <w:tc>
          <w:tcPr>
            <w:tcW w:w="1134" w:type="dxa"/>
          </w:tcPr>
          <w:p w14:paraId="14AB680D"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-2.5</w:t>
            </w:r>
          </w:p>
        </w:tc>
        <w:tc>
          <w:tcPr>
            <w:tcW w:w="1134" w:type="dxa"/>
          </w:tcPr>
          <w:p w14:paraId="0EC365BC"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0</w:t>
            </w:r>
          </w:p>
        </w:tc>
      </w:tr>
      <w:tr w:rsidR="00CD6020" w:rsidRPr="00CD6020" w14:paraId="76C869C5" w14:textId="77777777" w:rsidTr="00C411A6">
        <w:trPr>
          <w:jc w:val="center"/>
        </w:trPr>
        <w:tc>
          <w:tcPr>
            <w:tcW w:w="846" w:type="dxa"/>
          </w:tcPr>
          <w:p w14:paraId="3F99FC46" w14:textId="77777777" w:rsidR="00CD6020" w:rsidRPr="00CD6020" w:rsidRDefault="00CD6020" w:rsidP="00CD6020">
            <w:pPr>
              <w:spacing w:after="160"/>
              <w:jc w:val="center"/>
              <w:rPr>
                <w:rFonts w:eastAsia="Calibri" w:cs="Times New Roman"/>
                <w:b/>
                <w:bCs/>
                <w:szCs w:val="20"/>
                <w:lang w:val="en-GB"/>
              </w:rPr>
            </w:pPr>
            <w:r w:rsidRPr="00CD6020">
              <w:rPr>
                <w:rFonts w:eastAsia="Calibri" w:cs="Times New Roman"/>
                <w:b/>
                <w:bCs/>
                <w:szCs w:val="20"/>
                <w:lang w:val="en-GB"/>
              </w:rPr>
              <w:t>4</w:t>
            </w:r>
          </w:p>
        </w:tc>
        <w:tc>
          <w:tcPr>
            <w:tcW w:w="1276" w:type="dxa"/>
          </w:tcPr>
          <w:p w14:paraId="116FD3B0"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0.25</w:t>
            </w:r>
          </w:p>
        </w:tc>
        <w:tc>
          <w:tcPr>
            <w:tcW w:w="1134" w:type="dxa"/>
          </w:tcPr>
          <w:p w14:paraId="0A18BAA4"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-7.5</w:t>
            </w:r>
          </w:p>
        </w:tc>
        <w:tc>
          <w:tcPr>
            <w:tcW w:w="1134" w:type="dxa"/>
          </w:tcPr>
          <w:p w14:paraId="71BCE5CA"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0</w:t>
            </w:r>
          </w:p>
        </w:tc>
      </w:tr>
      <w:tr w:rsidR="00CD6020" w:rsidRPr="00CD6020" w14:paraId="64B15149" w14:textId="77777777" w:rsidTr="00C411A6">
        <w:trPr>
          <w:jc w:val="center"/>
        </w:trPr>
        <w:tc>
          <w:tcPr>
            <w:tcW w:w="846" w:type="dxa"/>
          </w:tcPr>
          <w:p w14:paraId="018EA048" w14:textId="77777777" w:rsidR="00CD6020" w:rsidRPr="00CD6020" w:rsidRDefault="00CD6020" w:rsidP="00CD6020">
            <w:pPr>
              <w:spacing w:after="160"/>
              <w:jc w:val="center"/>
              <w:rPr>
                <w:rFonts w:eastAsia="Calibri" w:cs="Times New Roman"/>
                <w:b/>
                <w:bCs/>
                <w:szCs w:val="20"/>
                <w:lang w:val="en-GB"/>
              </w:rPr>
            </w:pPr>
            <w:r w:rsidRPr="00CD6020">
              <w:rPr>
                <w:rFonts w:eastAsia="Calibri" w:cs="Times New Roman"/>
                <w:b/>
                <w:bCs/>
                <w:szCs w:val="20"/>
                <w:lang w:val="en-GB"/>
              </w:rPr>
              <w:t>5</w:t>
            </w:r>
          </w:p>
        </w:tc>
        <w:tc>
          <w:tcPr>
            <w:tcW w:w="1276" w:type="dxa"/>
          </w:tcPr>
          <w:p w14:paraId="57A7AB6B"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0.125</w:t>
            </w:r>
          </w:p>
        </w:tc>
        <w:tc>
          <w:tcPr>
            <w:tcW w:w="1134" w:type="dxa"/>
          </w:tcPr>
          <w:p w14:paraId="566809BA"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-2.5</w:t>
            </w:r>
          </w:p>
        </w:tc>
        <w:tc>
          <w:tcPr>
            <w:tcW w:w="1134" w:type="dxa"/>
          </w:tcPr>
          <w:p w14:paraId="704A126A"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45</w:t>
            </w:r>
          </w:p>
        </w:tc>
      </w:tr>
      <w:tr w:rsidR="00CD6020" w:rsidRPr="00CD6020" w14:paraId="014C3D53" w14:textId="77777777" w:rsidTr="00C411A6">
        <w:trPr>
          <w:jc w:val="center"/>
        </w:trPr>
        <w:tc>
          <w:tcPr>
            <w:tcW w:w="846" w:type="dxa"/>
          </w:tcPr>
          <w:p w14:paraId="01884334" w14:textId="77777777" w:rsidR="00CD6020" w:rsidRPr="00CD6020" w:rsidRDefault="00CD6020" w:rsidP="00CD6020">
            <w:pPr>
              <w:spacing w:after="160"/>
              <w:jc w:val="center"/>
              <w:rPr>
                <w:rFonts w:eastAsia="Calibri" w:cs="Times New Roman"/>
                <w:b/>
                <w:bCs/>
                <w:szCs w:val="20"/>
                <w:lang w:val="en-GB"/>
              </w:rPr>
            </w:pPr>
            <w:r w:rsidRPr="00CD6020">
              <w:rPr>
                <w:rFonts w:eastAsia="Calibri" w:cs="Times New Roman"/>
                <w:b/>
                <w:bCs/>
                <w:szCs w:val="20"/>
                <w:lang w:val="en-GB"/>
              </w:rPr>
              <w:t>6</w:t>
            </w:r>
          </w:p>
        </w:tc>
        <w:tc>
          <w:tcPr>
            <w:tcW w:w="1276" w:type="dxa"/>
          </w:tcPr>
          <w:p w14:paraId="6386C1A9"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0.125</w:t>
            </w:r>
          </w:p>
        </w:tc>
        <w:tc>
          <w:tcPr>
            <w:tcW w:w="1134" w:type="dxa"/>
          </w:tcPr>
          <w:p w14:paraId="43C04AD6"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-7.5</w:t>
            </w:r>
          </w:p>
        </w:tc>
        <w:tc>
          <w:tcPr>
            <w:tcW w:w="1134" w:type="dxa"/>
          </w:tcPr>
          <w:p w14:paraId="4303BBE6" w14:textId="77777777" w:rsidR="00CD6020" w:rsidRPr="00CD6020" w:rsidRDefault="00CD6020" w:rsidP="00CD6020">
            <w:pPr>
              <w:spacing w:after="160"/>
              <w:jc w:val="center"/>
              <w:rPr>
                <w:rFonts w:eastAsia="Calibri" w:cs="Times New Roman"/>
                <w:szCs w:val="20"/>
                <w:lang w:val="en-GB"/>
              </w:rPr>
            </w:pPr>
            <w:r w:rsidRPr="00CD6020">
              <w:rPr>
                <w:rFonts w:eastAsia="Calibri" w:cs="Times New Roman"/>
                <w:szCs w:val="20"/>
                <w:lang w:val="en-GB"/>
              </w:rPr>
              <w:t>45</w:t>
            </w:r>
          </w:p>
        </w:tc>
      </w:tr>
    </w:tbl>
    <w:p w14:paraId="609CD7CD" w14:textId="77777777" w:rsidR="006F3F78" w:rsidRDefault="006F3F78" w:rsidP="00AB1C73"/>
    <w:p w14:paraId="5A3CB03C" w14:textId="114826AF" w:rsidR="00CD6020" w:rsidRDefault="00CD6020" w:rsidP="00CD6020">
      <w:pPr>
        <w:jc w:val="center"/>
      </w:pPr>
      <w:r>
        <w:rPr>
          <w:noProof/>
        </w:rPr>
        <w:drawing>
          <wp:inline distT="0" distB="0" distL="0" distR="0" wp14:anchorId="1800AF5D" wp14:editId="6D544791">
            <wp:extent cx="5029200" cy="2728562"/>
            <wp:effectExtent l="0" t="0" r="0" b="0"/>
            <wp:docPr id="446363197" name="Picture 1" descr="A collage of images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363197" name="Picture 1" descr="A collage of images of different colors&#10;&#10;Description automatically generated"/>
                    <pic:cNvPicPr/>
                  </pic:nvPicPr>
                  <pic:blipFill>
                    <a:blip r:embed="rId16"/>
                    <a:stretch>
                      <a:fillRect/>
                    </a:stretch>
                  </pic:blipFill>
                  <pic:spPr>
                    <a:xfrm>
                      <a:off x="0" y="0"/>
                      <a:ext cx="5118267" cy="2776885"/>
                    </a:xfrm>
                    <a:prstGeom prst="rect">
                      <a:avLst/>
                    </a:prstGeom>
                  </pic:spPr>
                </pic:pic>
              </a:graphicData>
            </a:graphic>
          </wp:inline>
        </w:drawing>
      </w:r>
    </w:p>
    <w:p w14:paraId="2701F07C" w14:textId="231F55BB" w:rsidR="00CD6020" w:rsidRPr="00864BB5" w:rsidRDefault="00CD6020" w:rsidP="00864BB5">
      <w:pPr>
        <w:jc w:val="center"/>
        <w:rPr>
          <w:b/>
          <w:bCs/>
        </w:rPr>
      </w:pPr>
      <w:r w:rsidRPr="00864BB5">
        <w:rPr>
          <w:b/>
          <w:bCs/>
        </w:rPr>
        <w:t xml:space="preserve">Figure 4: </w:t>
      </w:r>
      <w:r w:rsidR="00864BB5">
        <w:rPr>
          <w:b/>
          <w:bCs/>
        </w:rPr>
        <w:t xml:space="preserve">Visualization of </w:t>
      </w:r>
      <w:r w:rsidR="00864BB5" w:rsidRPr="00864BB5">
        <w:rPr>
          <w:b/>
          <w:bCs/>
        </w:rPr>
        <w:t>beamforming direction point</w:t>
      </w:r>
    </w:p>
    <w:p w14:paraId="5AA9F58F" w14:textId="77777777" w:rsidR="00CD6020" w:rsidRDefault="00CD6020" w:rsidP="00AB1C73"/>
    <w:p w14:paraId="0435BFA2" w14:textId="1489BBAC" w:rsidR="00CD6020" w:rsidRDefault="00CD6020" w:rsidP="00AB1C73">
      <w:r w:rsidRPr="00CD6020">
        <w:t>These beams are multiplied with the associated weights before being summed to form the average e.i.r.p.</w:t>
      </w:r>
    </w:p>
    <w:p w14:paraId="0369B3B5" w14:textId="77777777" w:rsidR="00CD6020" w:rsidRPr="00CD6020" w:rsidRDefault="00000000" w:rsidP="00CD6020">
      <w:pPr>
        <w:rPr>
          <w:rFonts w:ascii="Calibri" w:eastAsia="DengXian" w:hAnsi="Calibri" w:cs="Times New Roman"/>
          <w:sz w:val="22"/>
        </w:rPr>
      </w:pPr>
      <m:oMathPara>
        <m:oMath>
          <m:sSub>
            <m:sSubPr>
              <m:ctrlPr>
                <w:rPr>
                  <w:rFonts w:ascii="Cambria Math" w:eastAsia="SimSun" w:hAnsi="Cambria Math" w:cs="Times New Roman"/>
                  <w:i/>
                  <w:sz w:val="22"/>
                  <w:lang w:val="en-GB"/>
                </w:rPr>
              </m:ctrlPr>
            </m:sSubPr>
            <m:e>
              <m:r>
                <w:rPr>
                  <w:rFonts w:ascii="Cambria Math" w:eastAsia="SimSun" w:hAnsi="Cambria Math" w:cs="Arial"/>
                  <w:lang w:val="en-GB"/>
                </w:rPr>
                <m:t>P</m:t>
              </m:r>
            </m:e>
            <m:sub>
              <m:r>
                <w:rPr>
                  <w:rFonts w:ascii="Cambria Math" w:eastAsia="SimSun" w:hAnsi="Cambria Math" w:cs="Arial"/>
                  <w:lang w:val="en-GB"/>
                </w:rPr>
                <m:t>ave</m:t>
              </m:r>
            </m:sub>
          </m:sSub>
          <m:d>
            <m:dPr>
              <m:ctrlPr>
                <w:rPr>
                  <w:rFonts w:ascii="Cambria Math" w:eastAsia="SimSun" w:hAnsi="Cambria Math" w:cs="Times New Roman"/>
                  <w:i/>
                  <w:sz w:val="22"/>
                  <w:lang w:val="en-GB"/>
                </w:rPr>
              </m:ctrlPr>
            </m:dPr>
            <m:e>
              <m:sSub>
                <m:sSubPr>
                  <m:ctrlPr>
                    <w:rPr>
                      <w:rFonts w:ascii="Cambria Math" w:eastAsia="SimSun" w:hAnsi="Cambria Math" w:cs="Times New Roman"/>
                      <w:i/>
                      <w:sz w:val="22"/>
                      <w:lang w:val="en-GB"/>
                    </w:rPr>
                  </m:ctrlPr>
                </m:sSubPr>
                <m:e>
                  <m:r>
                    <w:rPr>
                      <w:rFonts w:ascii="Cambria Math" w:eastAsia="SimSun" w:hAnsi="Cambria Math" w:cs="Arial"/>
                      <w:lang w:val="en-GB"/>
                    </w:rPr>
                    <m:t>θ</m:t>
                  </m:r>
                </m:e>
                <m:sub>
                  <m:r>
                    <w:rPr>
                      <w:rFonts w:ascii="Cambria Math" w:eastAsia="SimSun" w:hAnsi="Cambria Math" w:cs="Arial"/>
                      <w:lang w:val="en-GB"/>
                    </w:rPr>
                    <m:t>0</m:t>
                  </m:r>
                </m:sub>
              </m:sSub>
              <m:sSub>
                <m:sSubPr>
                  <m:ctrlPr>
                    <w:rPr>
                      <w:rFonts w:ascii="Cambria Math" w:eastAsia="SimSun" w:hAnsi="Cambria Math" w:cs="Times New Roman"/>
                      <w:i/>
                      <w:kern w:val="24"/>
                      <w:sz w:val="22"/>
                      <w:lang w:val="en-GB"/>
                    </w:rPr>
                  </m:ctrlPr>
                </m:sSubPr>
                <m:e>
                  <m:r>
                    <w:rPr>
                      <w:rFonts w:ascii="Cambria Math" w:eastAsia="SimSun" w:hAnsi="Cambria Math" w:cs="Arial"/>
                      <w:kern w:val="24"/>
                      <w:lang w:val="en-GB"/>
                    </w:rPr>
                    <m:t>,φ</m:t>
                  </m:r>
                </m:e>
                <m:sub>
                  <m:r>
                    <w:rPr>
                      <w:rFonts w:ascii="Cambria Math" w:eastAsia="SimSun" w:hAnsi="Cambria Math" w:cs="Arial"/>
                      <w:kern w:val="24"/>
                      <w:lang w:val="en-GB"/>
                    </w:rPr>
                    <m:t>0</m:t>
                  </m:r>
                </m:sub>
              </m:sSub>
            </m:e>
          </m:d>
          <m:r>
            <w:rPr>
              <w:rFonts w:ascii="Cambria Math" w:eastAsia="SimSun" w:hAnsi="Cambria Math" w:cs="Arial"/>
              <w:lang w:val="en-GB"/>
            </w:rPr>
            <m:t>=</m:t>
          </m:r>
          <m:f>
            <m:fPr>
              <m:ctrlPr>
                <w:rPr>
                  <w:rFonts w:ascii="Cambria Math" w:eastAsia="SimSun" w:hAnsi="Cambria Math" w:cs="Arial"/>
                  <w:i/>
                  <w:lang w:val="en-GB"/>
                </w:rPr>
              </m:ctrlPr>
            </m:fPr>
            <m:num>
              <m:r>
                <w:rPr>
                  <w:rFonts w:ascii="Cambria Math" w:eastAsia="SimSun" w:hAnsi="Cambria Math" w:cs="Arial"/>
                  <w:lang w:val="en-GB"/>
                </w:rPr>
                <m:t>1</m:t>
              </m:r>
            </m:num>
            <m:den>
              <m:r>
                <w:rPr>
                  <w:rFonts w:ascii="Cambria Math" w:eastAsia="SimSun" w:hAnsi="Cambria Math" w:cs="Arial"/>
                  <w:lang w:val="en-GB"/>
                </w:rPr>
                <m:t>8</m:t>
              </m:r>
            </m:den>
          </m:f>
          <m:r>
            <w:rPr>
              <w:rFonts w:ascii="Cambria Math" w:eastAsia="SimSun" w:hAnsi="Cambria Math" w:cs="Arial"/>
              <w:lang w:val="en-GB"/>
            </w:rPr>
            <m:t>Poin</m:t>
          </m:r>
          <m:sSub>
            <m:sSubPr>
              <m:ctrlPr>
                <w:rPr>
                  <w:rFonts w:ascii="Cambria Math" w:eastAsia="SimSun" w:hAnsi="Cambria Math" w:cs="Arial"/>
                  <w:i/>
                  <w:lang w:val="en-GB"/>
                </w:rPr>
              </m:ctrlPr>
            </m:sSubPr>
            <m:e>
              <m:r>
                <w:rPr>
                  <w:rFonts w:ascii="Cambria Math" w:eastAsia="SimSun" w:hAnsi="Cambria Math" w:cs="Arial"/>
                  <w:lang w:val="en-GB"/>
                </w:rPr>
                <m:t>t</m:t>
              </m:r>
            </m:e>
            <m:sub>
              <m:r>
                <w:rPr>
                  <w:rFonts w:ascii="Cambria Math" w:eastAsia="SimSun" w:hAnsi="Cambria Math" w:cs="Arial"/>
                  <w:lang w:val="en-GB"/>
                </w:rPr>
                <m:t>1</m:t>
              </m:r>
            </m:sub>
          </m:sSub>
          <m:r>
            <w:rPr>
              <w:rFonts w:ascii="Cambria Math" w:eastAsia="SimSun" w:hAnsi="Cambria Math" w:cs="Arial"/>
              <w:lang w:val="en-GB"/>
            </w:rPr>
            <m:t>+</m:t>
          </m:r>
          <m:f>
            <m:fPr>
              <m:ctrlPr>
                <w:rPr>
                  <w:rFonts w:ascii="Cambria Math" w:eastAsia="SimSun" w:hAnsi="Cambria Math" w:cs="Arial"/>
                  <w:i/>
                  <w:lang w:val="en-GB"/>
                </w:rPr>
              </m:ctrlPr>
            </m:fPr>
            <m:num>
              <m:r>
                <w:rPr>
                  <w:rFonts w:ascii="Cambria Math" w:eastAsia="SimSun" w:hAnsi="Cambria Math" w:cs="Arial"/>
                  <w:lang w:val="en-GB"/>
                </w:rPr>
                <m:t>1</m:t>
              </m:r>
            </m:num>
            <m:den>
              <m:r>
                <w:rPr>
                  <w:rFonts w:ascii="Cambria Math" w:eastAsia="SimSun" w:hAnsi="Cambria Math" w:cs="Arial"/>
                  <w:lang w:val="en-GB"/>
                </w:rPr>
                <m:t>8</m:t>
              </m:r>
            </m:den>
          </m:f>
          <m:r>
            <w:rPr>
              <w:rFonts w:ascii="Cambria Math" w:eastAsia="SimSun" w:hAnsi="Cambria Math" w:cs="Arial"/>
              <w:lang w:val="en-GB"/>
            </w:rPr>
            <m:t>Poin</m:t>
          </m:r>
          <m:sSub>
            <m:sSubPr>
              <m:ctrlPr>
                <w:rPr>
                  <w:rFonts w:ascii="Cambria Math" w:eastAsia="SimSun" w:hAnsi="Cambria Math" w:cs="Arial"/>
                  <w:i/>
                  <w:lang w:val="en-GB"/>
                </w:rPr>
              </m:ctrlPr>
            </m:sSubPr>
            <m:e>
              <m:r>
                <w:rPr>
                  <w:rFonts w:ascii="Cambria Math" w:eastAsia="SimSun" w:hAnsi="Cambria Math" w:cs="Arial"/>
                  <w:lang w:val="en-GB"/>
                </w:rPr>
                <m:t>t</m:t>
              </m:r>
            </m:e>
            <m:sub>
              <m:r>
                <w:rPr>
                  <w:rFonts w:ascii="Cambria Math" w:eastAsia="SimSun" w:hAnsi="Cambria Math" w:cs="Arial"/>
                  <w:lang w:val="en-GB"/>
                </w:rPr>
                <m:t>2</m:t>
              </m:r>
            </m:sub>
          </m:sSub>
          <m:r>
            <w:rPr>
              <w:rFonts w:ascii="Cambria Math" w:eastAsia="SimSun" w:hAnsi="Cambria Math" w:cs="Arial"/>
              <w:lang w:val="en-GB"/>
            </w:rPr>
            <m:t>+</m:t>
          </m:r>
          <m:f>
            <m:fPr>
              <m:ctrlPr>
                <w:rPr>
                  <w:rFonts w:ascii="Cambria Math" w:eastAsia="SimSun" w:hAnsi="Cambria Math" w:cs="Arial"/>
                  <w:i/>
                  <w:lang w:val="en-GB"/>
                </w:rPr>
              </m:ctrlPr>
            </m:fPr>
            <m:num>
              <m:r>
                <w:rPr>
                  <w:rFonts w:ascii="Cambria Math" w:eastAsia="SimSun" w:hAnsi="Cambria Math" w:cs="Arial"/>
                  <w:lang w:val="en-GB"/>
                </w:rPr>
                <m:t>2</m:t>
              </m:r>
            </m:num>
            <m:den>
              <m:r>
                <w:rPr>
                  <w:rFonts w:ascii="Cambria Math" w:eastAsia="SimSun" w:hAnsi="Cambria Math" w:cs="Arial"/>
                  <w:lang w:val="en-GB"/>
                </w:rPr>
                <m:t>8</m:t>
              </m:r>
            </m:den>
          </m:f>
          <m:r>
            <w:rPr>
              <w:rFonts w:ascii="Cambria Math" w:eastAsia="SimSun" w:hAnsi="Cambria Math" w:cs="Arial"/>
              <w:lang w:val="en-GB"/>
            </w:rPr>
            <m:t>Poin</m:t>
          </m:r>
          <m:sSub>
            <m:sSubPr>
              <m:ctrlPr>
                <w:rPr>
                  <w:rFonts w:ascii="Cambria Math" w:eastAsia="SimSun" w:hAnsi="Cambria Math" w:cs="Arial"/>
                  <w:i/>
                  <w:lang w:val="en-GB"/>
                </w:rPr>
              </m:ctrlPr>
            </m:sSubPr>
            <m:e>
              <m:r>
                <w:rPr>
                  <w:rFonts w:ascii="Cambria Math" w:eastAsia="SimSun" w:hAnsi="Cambria Math" w:cs="Arial"/>
                  <w:lang w:val="en-GB"/>
                </w:rPr>
                <m:t>t</m:t>
              </m:r>
            </m:e>
            <m:sub>
              <m:r>
                <w:rPr>
                  <w:rFonts w:ascii="Cambria Math" w:eastAsia="SimSun" w:hAnsi="Cambria Math" w:cs="Arial"/>
                  <w:lang w:val="en-GB"/>
                </w:rPr>
                <m:t>3</m:t>
              </m:r>
            </m:sub>
          </m:sSub>
          <m:r>
            <w:rPr>
              <w:rFonts w:ascii="Cambria Math" w:eastAsia="SimSun" w:hAnsi="Cambria Math" w:cs="Arial"/>
              <w:lang w:val="en-GB"/>
            </w:rPr>
            <m:t>+</m:t>
          </m:r>
          <m:f>
            <m:fPr>
              <m:ctrlPr>
                <w:rPr>
                  <w:rFonts w:ascii="Cambria Math" w:eastAsia="SimSun" w:hAnsi="Cambria Math" w:cs="Arial"/>
                  <w:i/>
                  <w:lang w:val="en-GB"/>
                </w:rPr>
              </m:ctrlPr>
            </m:fPr>
            <m:num>
              <m:r>
                <w:rPr>
                  <w:rFonts w:ascii="Cambria Math" w:eastAsia="SimSun" w:hAnsi="Cambria Math" w:cs="Arial"/>
                  <w:lang w:val="en-GB"/>
                </w:rPr>
                <m:t>2</m:t>
              </m:r>
            </m:num>
            <m:den>
              <m:r>
                <w:rPr>
                  <w:rFonts w:ascii="Cambria Math" w:eastAsia="SimSun" w:hAnsi="Cambria Math" w:cs="Arial"/>
                  <w:lang w:val="en-GB"/>
                </w:rPr>
                <m:t>8</m:t>
              </m:r>
            </m:den>
          </m:f>
          <m:r>
            <w:rPr>
              <w:rFonts w:ascii="Cambria Math" w:eastAsia="SimSun" w:hAnsi="Cambria Math" w:cs="Arial"/>
              <w:lang w:val="en-GB"/>
            </w:rPr>
            <m:t>Poin</m:t>
          </m:r>
          <m:sSub>
            <m:sSubPr>
              <m:ctrlPr>
                <w:rPr>
                  <w:rFonts w:ascii="Cambria Math" w:eastAsia="SimSun" w:hAnsi="Cambria Math" w:cs="Arial"/>
                  <w:i/>
                  <w:lang w:val="en-GB"/>
                </w:rPr>
              </m:ctrlPr>
            </m:sSubPr>
            <m:e>
              <m:r>
                <w:rPr>
                  <w:rFonts w:ascii="Cambria Math" w:eastAsia="SimSun" w:hAnsi="Cambria Math" w:cs="Arial"/>
                  <w:lang w:val="en-GB"/>
                </w:rPr>
                <m:t>t</m:t>
              </m:r>
            </m:e>
            <m:sub>
              <m:r>
                <w:rPr>
                  <w:rFonts w:ascii="Cambria Math" w:eastAsia="SimSun" w:hAnsi="Cambria Math" w:cs="Arial"/>
                  <w:lang w:val="en-GB"/>
                </w:rPr>
                <m:t>4</m:t>
              </m:r>
            </m:sub>
          </m:sSub>
          <m:r>
            <w:rPr>
              <w:rFonts w:ascii="Cambria Math" w:eastAsia="SimSun" w:hAnsi="Cambria Math" w:cs="Arial"/>
              <w:lang w:val="en-GB"/>
            </w:rPr>
            <m:t>+</m:t>
          </m:r>
          <m:f>
            <m:fPr>
              <m:ctrlPr>
                <w:rPr>
                  <w:rFonts w:ascii="Cambria Math" w:eastAsia="SimSun" w:hAnsi="Cambria Math" w:cs="Arial"/>
                  <w:i/>
                  <w:lang w:val="en-GB"/>
                </w:rPr>
              </m:ctrlPr>
            </m:fPr>
            <m:num>
              <m:r>
                <w:rPr>
                  <w:rFonts w:ascii="Cambria Math" w:eastAsia="SimSun" w:hAnsi="Cambria Math" w:cs="Arial"/>
                  <w:lang w:val="en-GB"/>
                </w:rPr>
                <m:t>1</m:t>
              </m:r>
            </m:num>
            <m:den>
              <m:r>
                <w:rPr>
                  <w:rFonts w:ascii="Cambria Math" w:eastAsia="SimSun" w:hAnsi="Cambria Math" w:cs="Arial"/>
                  <w:lang w:val="en-GB"/>
                </w:rPr>
                <m:t>8</m:t>
              </m:r>
            </m:den>
          </m:f>
          <m:r>
            <w:rPr>
              <w:rFonts w:ascii="Cambria Math" w:eastAsia="SimSun" w:hAnsi="Cambria Math" w:cs="Arial"/>
              <w:lang w:val="en-GB"/>
            </w:rPr>
            <m:t>Poin</m:t>
          </m:r>
          <m:sSub>
            <m:sSubPr>
              <m:ctrlPr>
                <w:rPr>
                  <w:rFonts w:ascii="Cambria Math" w:eastAsia="SimSun" w:hAnsi="Cambria Math" w:cs="Arial"/>
                  <w:i/>
                  <w:lang w:val="en-GB"/>
                </w:rPr>
              </m:ctrlPr>
            </m:sSubPr>
            <m:e>
              <m:r>
                <w:rPr>
                  <w:rFonts w:ascii="Cambria Math" w:eastAsia="SimSun" w:hAnsi="Cambria Math" w:cs="Arial"/>
                  <w:lang w:val="en-GB"/>
                </w:rPr>
                <m:t>t</m:t>
              </m:r>
            </m:e>
            <m:sub>
              <m:r>
                <w:rPr>
                  <w:rFonts w:ascii="Cambria Math" w:eastAsia="SimSun" w:hAnsi="Cambria Math" w:cs="Arial"/>
                  <w:lang w:val="en-GB"/>
                </w:rPr>
                <m:t>5</m:t>
              </m:r>
            </m:sub>
          </m:sSub>
          <m:r>
            <w:rPr>
              <w:rFonts w:ascii="Cambria Math" w:eastAsia="SimSun" w:hAnsi="Cambria Math" w:cs="Arial"/>
              <w:lang w:val="en-GB"/>
            </w:rPr>
            <m:t>+</m:t>
          </m:r>
          <m:f>
            <m:fPr>
              <m:ctrlPr>
                <w:rPr>
                  <w:rFonts w:ascii="Cambria Math" w:eastAsia="SimSun" w:hAnsi="Cambria Math" w:cs="Arial"/>
                  <w:i/>
                  <w:lang w:val="en-GB"/>
                </w:rPr>
              </m:ctrlPr>
            </m:fPr>
            <m:num>
              <m:r>
                <w:rPr>
                  <w:rFonts w:ascii="Cambria Math" w:eastAsia="SimSun" w:hAnsi="Cambria Math" w:cs="Arial"/>
                  <w:lang w:val="en-GB"/>
                </w:rPr>
                <m:t>1</m:t>
              </m:r>
            </m:num>
            <m:den>
              <m:r>
                <w:rPr>
                  <w:rFonts w:ascii="Cambria Math" w:eastAsia="SimSun" w:hAnsi="Cambria Math" w:cs="Arial"/>
                  <w:lang w:val="en-GB"/>
                </w:rPr>
                <m:t>8</m:t>
              </m:r>
            </m:den>
          </m:f>
          <m:r>
            <w:rPr>
              <w:rFonts w:ascii="Cambria Math" w:eastAsia="SimSun" w:hAnsi="Cambria Math" w:cs="Arial"/>
              <w:lang w:val="en-GB"/>
            </w:rPr>
            <m:t>Poin</m:t>
          </m:r>
          <m:sSub>
            <m:sSubPr>
              <m:ctrlPr>
                <w:rPr>
                  <w:rFonts w:ascii="Cambria Math" w:eastAsia="SimSun" w:hAnsi="Cambria Math" w:cs="Arial"/>
                  <w:i/>
                  <w:lang w:val="en-GB"/>
                </w:rPr>
              </m:ctrlPr>
            </m:sSubPr>
            <m:e>
              <m:r>
                <w:rPr>
                  <w:rFonts w:ascii="Cambria Math" w:eastAsia="SimSun" w:hAnsi="Cambria Math" w:cs="Arial"/>
                  <w:lang w:val="en-GB"/>
                </w:rPr>
                <m:t>t</m:t>
              </m:r>
            </m:e>
            <m:sub>
              <m:r>
                <w:rPr>
                  <w:rFonts w:ascii="Cambria Math" w:eastAsia="SimSun" w:hAnsi="Cambria Math" w:cs="Arial"/>
                  <w:lang w:val="en-GB"/>
                </w:rPr>
                <m:t>6</m:t>
              </m:r>
            </m:sub>
          </m:sSub>
        </m:oMath>
      </m:oMathPara>
    </w:p>
    <w:p w14:paraId="7746CDB5" w14:textId="77777777" w:rsidR="00D14617" w:rsidRDefault="00D14617" w:rsidP="00AB1C73">
      <w:pPr>
        <w:rPr>
          <w:b/>
          <w:bCs/>
        </w:rPr>
      </w:pPr>
    </w:p>
    <w:p w14:paraId="3829E570" w14:textId="43D6F462" w:rsidR="00CD6020" w:rsidRDefault="00D14617" w:rsidP="00AB1C73">
      <w:r w:rsidRPr="00D14617">
        <w:rPr>
          <w:b/>
          <w:bCs/>
        </w:rPr>
        <w:lastRenderedPageBreak/>
        <w:t>Observation 2:</w:t>
      </w:r>
      <w:r>
        <w:t xml:space="preserve"> </w:t>
      </w:r>
      <w:r w:rsidR="00CD461C">
        <w:t>The n</w:t>
      </w:r>
      <w:r>
        <w:t xml:space="preserve">umber of </w:t>
      </w:r>
      <w:r w:rsidRPr="00D14617">
        <w:t>beamforming directions</w:t>
      </w:r>
      <w:r>
        <w:t xml:space="preserve"> </w:t>
      </w:r>
      <w:r w:rsidR="00CD461C">
        <w:t xml:space="preserve">defined </w:t>
      </w:r>
      <w:r>
        <w:t>will impact test effort</w:t>
      </w:r>
      <w:r w:rsidR="00CD461C">
        <w:t xml:space="preserve"> and increasing the number of</w:t>
      </w:r>
      <w:r w:rsidR="007753CB">
        <w:t xml:space="preserve"> these</w:t>
      </w:r>
      <w:r w:rsidR="00CD461C">
        <w:t xml:space="preserve"> beams will increase the time it takes</w:t>
      </w:r>
      <w:r w:rsidR="007753CB">
        <w:t xml:space="preserve"> to test</w:t>
      </w:r>
      <w:r>
        <w:t>.</w:t>
      </w:r>
    </w:p>
    <w:p w14:paraId="380C485E" w14:textId="181A6798" w:rsidR="00E430A7" w:rsidRDefault="00E430A7" w:rsidP="00AB1C73">
      <w:bookmarkStart w:id="5" w:name="_Hlk163110623"/>
      <w:r w:rsidRPr="00E430A7">
        <w:rPr>
          <w:b/>
          <w:bCs/>
        </w:rPr>
        <w:t>Proposal 1</w:t>
      </w:r>
      <w:r>
        <w:t>: RAN4 to consider correct values of beamforming directions taking into account all aspects</w:t>
      </w:r>
      <w:bookmarkEnd w:id="5"/>
      <w:r>
        <w:t>.</w:t>
      </w:r>
    </w:p>
    <w:p w14:paraId="03E8C5DD" w14:textId="77777777" w:rsidR="00CD461C" w:rsidRDefault="00CD461C" w:rsidP="00AB1C73"/>
    <w:p w14:paraId="51CDE4EA" w14:textId="1F973208" w:rsidR="007753CB" w:rsidRDefault="007753CB" w:rsidP="0005688A">
      <w:pPr>
        <w:pStyle w:val="RAN4H3"/>
      </w:pPr>
      <w:r>
        <w:t>Averaging over horizontal and vertical angles</w:t>
      </w:r>
    </w:p>
    <w:p w14:paraId="62D3D061" w14:textId="77777777" w:rsidR="007753CB" w:rsidRDefault="007753CB" w:rsidP="007753CB">
      <w:pPr>
        <w:spacing w:before="120"/>
        <w:rPr>
          <w:rFonts w:eastAsiaTheme="minorEastAsia"/>
        </w:rPr>
      </w:pPr>
      <w:r>
        <w:rPr>
          <w:rFonts w:eastAsiaTheme="minorEastAsia"/>
        </w:rPr>
        <w:t>The second averaging process is over a spherical strip. This average e.i.r.p. (EIRP) for a spherical strip is therefore:</w:t>
      </w:r>
    </w:p>
    <w:p w14:paraId="72EDFE3D" w14:textId="77777777" w:rsidR="007753CB" w:rsidRPr="009A2E3E" w:rsidRDefault="007753CB" w:rsidP="007753CB">
      <w:pPr>
        <w:rPr>
          <w:rFonts w:eastAsiaTheme="minorEastAsia"/>
          <w:iCs/>
          <w:color w:val="000000"/>
        </w:rPr>
      </w:pPr>
      <m:oMathPara>
        <m:oMath>
          <m:r>
            <w:rPr>
              <w:rFonts w:ascii="Cambria Math" w:hAnsi="Cambria Math" w:cs="Arial"/>
              <w:color w:val="000000"/>
            </w:rPr>
            <m:t>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r>
                <w:rPr>
                  <w:rFonts w:ascii="Cambria Math" w:hAnsi="Cambria Math" w:cs="Arial"/>
                  <w:color w:val="000000"/>
                </w:rPr>
                <m:t>1</m:t>
              </m:r>
            </m:num>
            <m:den>
              <m:r>
                <w:rPr>
                  <w:rFonts w:ascii="Cambria Math" w:hAnsi="Cambria Math" w:cs="Arial"/>
                  <w:color w:val="000000"/>
                </w:rPr>
                <m:t>2π</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limLoc m:val="undOvr"/>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sub>
            <m:sup>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sup>
            <m:e>
              <m:nary>
                <m:naryPr>
                  <m:limLoc m:val="undOvr"/>
                  <m:ctrlPr>
                    <w:rPr>
                      <w:rFonts w:ascii="Cambria Math" w:eastAsia="Cambria" w:hAnsi="Cambria Math"/>
                      <w:i/>
                      <w:iCs/>
                      <w:color w:val="000000"/>
                    </w:rPr>
                  </m:ctrlPr>
                </m:naryPr>
                <m:sub>
                  <m:r>
                    <w:rPr>
                      <w:rFonts w:ascii="Cambria Math" w:eastAsia="Cambria" w:hAnsi="Cambria Math" w:cs="Arial"/>
                      <w:color w:val="000000"/>
                    </w:rPr>
                    <m:t>-π</m:t>
                  </m:r>
                </m:sub>
                <m:sup>
                  <m:r>
                    <w:rPr>
                      <w:rFonts w:ascii="Cambria Math" w:eastAsia="Cambria" w:hAnsi="Cambria Math" w:cs="Arial"/>
                      <w:color w:val="000000"/>
                    </w:rPr>
                    <m:t>π</m:t>
                  </m:r>
                </m:sup>
                <m:e>
                  <m:r>
                    <w:rPr>
                      <w:rFonts w:ascii="Cambria Math" w:eastAsia="Cambria" w:hAnsi="Cambria Math"/>
                      <w:color w:val="000000"/>
                    </w:rPr>
                    <m:t>EIRP</m:t>
                  </m:r>
                  <m:d>
                    <m:dPr>
                      <m:ctrlPr>
                        <w:rPr>
                          <w:rFonts w:ascii="Cambria Math" w:eastAsia="Cambria" w:hAnsi="Cambria Math"/>
                          <w:i/>
                          <w:iCs/>
                          <w:color w:val="000000"/>
                        </w:rPr>
                      </m:ctrlPr>
                    </m:dPr>
                    <m:e>
                      <m:r>
                        <w:rPr>
                          <w:rFonts w:ascii="Cambria Math" w:hAnsi="Cambria Math" w:cs="Arial"/>
                          <w:color w:val="000000"/>
                        </w:rPr>
                        <m:t>θ,φ</m:t>
                      </m:r>
                    </m:e>
                  </m:d>
                  <m:r>
                    <w:rPr>
                      <w:rFonts w:ascii="Cambria Math" w:hAnsi="Cambria Math" w:cs="Arial"/>
                      <w:color w:val="000000"/>
                    </w:rPr>
                    <m:t xml:space="preserve"> cos</m:t>
                  </m:r>
                  <m:d>
                    <m:dPr>
                      <m:ctrlPr>
                        <w:rPr>
                          <w:rFonts w:ascii="Cambria Math" w:hAnsi="Cambria Math"/>
                          <w:i/>
                          <w:color w:val="000000"/>
                        </w:rPr>
                      </m:ctrlPr>
                    </m:dPr>
                    <m:e>
                      <m:r>
                        <w:rPr>
                          <w:rFonts w:ascii="Cambria Math" w:hAnsi="Cambria Math" w:cs="Arial"/>
                          <w:color w:val="000000"/>
                        </w:rPr>
                        <m:t>θ</m:t>
                      </m:r>
                    </m:e>
                  </m:d>
                  <m:r>
                    <w:rPr>
                      <w:rFonts w:ascii="Cambria Math" w:hAnsi="Cambria Math" w:cs="Arial"/>
                      <w:color w:val="000000"/>
                    </w:rPr>
                    <m:t xml:space="preserve"> dφ dθ</m:t>
                  </m:r>
                </m:e>
              </m:nary>
            </m:e>
          </m:nary>
        </m:oMath>
      </m:oMathPara>
    </w:p>
    <w:p w14:paraId="2F3F64AB" w14:textId="77777777" w:rsidR="007753CB" w:rsidRDefault="007753CB" w:rsidP="007753CB">
      <w:pPr>
        <w:rPr>
          <w:rFonts w:eastAsiaTheme="minorEastAsia"/>
          <w:iCs/>
          <w:color w:val="000000"/>
        </w:rPr>
      </w:pPr>
      <w:r>
        <w:rPr>
          <w:rFonts w:eastAsiaTheme="minorEastAsia"/>
          <w:iCs/>
          <w:color w:val="000000"/>
        </w:rPr>
        <w:t xml:space="preserve">With the help of solid angles and spherical cap formulae, we can approximate this </w:t>
      </w:r>
      <w:proofErr w:type="spellStart"/>
      <w:r>
        <w:rPr>
          <w:rFonts w:eastAsiaTheme="minorEastAsia"/>
          <w:iCs/>
          <w:color w:val="000000"/>
        </w:rPr>
        <w:t>doule</w:t>
      </w:r>
      <w:proofErr w:type="spellEnd"/>
      <w:r>
        <w:rPr>
          <w:rFonts w:eastAsiaTheme="minorEastAsia"/>
          <w:iCs/>
          <w:color w:val="000000"/>
        </w:rPr>
        <w:t xml:space="preserve"> integral in discrete form. For an equal angle grid method where the grid spacing is uniform in both the elevation θ (over the range of [0 to </w:t>
      </w:r>
      <w:r w:rsidRPr="00EB19D1">
        <w:rPr>
          <w:rFonts w:ascii="Cambria Math" w:eastAsiaTheme="minorEastAsia" w:hAnsi="Cambria Math"/>
          <w:iCs/>
          <w:color w:val="000000"/>
        </w:rPr>
        <w:t>π</w:t>
      </w:r>
      <w:r>
        <w:rPr>
          <w:rFonts w:eastAsiaTheme="minorEastAsia"/>
          <w:iCs/>
          <w:color w:val="000000"/>
        </w:rPr>
        <w:t>/2]) and azimuth ϕ (over the range of [-</w:t>
      </w:r>
      <w:r w:rsidRPr="00EB19D1">
        <w:rPr>
          <w:rFonts w:ascii="Cambria Math" w:eastAsiaTheme="minorEastAsia" w:hAnsi="Cambria Math"/>
          <w:iCs/>
          <w:color w:val="000000"/>
        </w:rPr>
        <w:t>π</w:t>
      </w:r>
      <w:r>
        <w:rPr>
          <w:rFonts w:eastAsiaTheme="minorEastAsia"/>
          <w:iCs/>
          <w:color w:val="000000"/>
        </w:rPr>
        <w:t xml:space="preserve"> to </w:t>
      </w:r>
      <w:r w:rsidRPr="00EB19D1">
        <w:rPr>
          <w:rFonts w:ascii="Cambria Math" w:eastAsiaTheme="minorEastAsia" w:hAnsi="Cambria Math"/>
          <w:iCs/>
          <w:color w:val="000000"/>
        </w:rPr>
        <w:t>π</w:t>
      </w:r>
      <w:r>
        <w:rPr>
          <w:rFonts w:eastAsiaTheme="minorEastAsia"/>
          <w:iCs/>
          <w:color w:val="000000"/>
        </w:rPr>
        <w:t xml:space="preserve">]), and with </w:t>
      </w:r>
      <w:r w:rsidRPr="003E7670">
        <w:rPr>
          <w:rFonts w:ascii="Cambria Math" w:eastAsiaTheme="minorEastAsia" w:hAnsi="Cambria Math"/>
          <w:i/>
          <w:color w:val="000000"/>
        </w:rPr>
        <w:t>N</w:t>
      </w:r>
      <w:r>
        <w:rPr>
          <w:rFonts w:eastAsiaTheme="minorEastAsia"/>
          <w:iCs/>
          <w:color w:val="000000"/>
        </w:rPr>
        <w:t xml:space="preserve"> and </w:t>
      </w:r>
      <w:r w:rsidRPr="003E7670">
        <w:rPr>
          <w:rFonts w:ascii="Cambria Math" w:eastAsiaTheme="minorEastAsia" w:hAnsi="Cambria Math"/>
          <w:i/>
          <w:color w:val="000000"/>
        </w:rPr>
        <w:t>M</w:t>
      </w:r>
      <w:r>
        <w:rPr>
          <w:rFonts w:eastAsiaTheme="minorEastAsia"/>
          <w:iCs/>
          <w:color w:val="000000"/>
        </w:rPr>
        <w:t xml:space="preserve"> points respectively, this average e.i.r.p. can be approximated to</w:t>
      </w:r>
    </w:p>
    <w:p w14:paraId="2E05CD5D" w14:textId="77777777" w:rsidR="007753CB" w:rsidRPr="004A0601" w:rsidRDefault="007753CB" w:rsidP="007753CB">
      <w:pPr>
        <w:jc w:val="center"/>
        <w:rPr>
          <w:rFonts w:eastAsiaTheme="minorEastAsia"/>
          <w:iCs/>
          <w:color w:val="000000"/>
        </w:rPr>
      </w:pPr>
      <m:oMath>
        <m:r>
          <w:rPr>
            <w:rFonts w:ascii="Cambria Math" w:hAnsi="Cambria Math" w:cs="Arial"/>
            <w:color w:val="000000"/>
          </w:rPr>
          <m:t>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r>
              <w:rPr>
                <w:rFonts w:ascii="Cambria Math" w:hAnsi="Cambria Math" w:cs="Arial"/>
                <w:color w:val="000000"/>
              </w:rPr>
              <m:t>1</m:t>
            </m:r>
          </m:num>
          <m:den>
            <m:r>
              <w:rPr>
                <w:rFonts w:ascii="Cambria Math" w:hAnsi="Cambria Math" w:cs="Arial"/>
                <w:color w:val="000000"/>
              </w:rPr>
              <m:t>2π</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chr m:val="∑"/>
            <m:limLoc m:val="subSup"/>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eastAsia="Cambria" w:hAnsi="Cambria Math"/>
                    <w:color w:val="000000"/>
                  </w:rPr>
                  <m:t>θ</m:t>
                </m:r>
              </m:e>
              <m:sub>
                <m:r>
                  <w:rPr>
                    <w:rFonts w:ascii="Cambria Math" w:eastAsia="Cambria" w:hAnsi="Cambria Math"/>
                    <w:color w:val="000000"/>
                  </w:rPr>
                  <m:t>L</m:t>
                </m:r>
              </m:sub>
            </m:sSub>
          </m:sub>
          <m:sup>
            <m:sSub>
              <m:sSubPr>
                <m:ctrlPr>
                  <w:rPr>
                    <w:rFonts w:ascii="Cambria Math" w:eastAsia="Cambria" w:hAnsi="Cambria Math"/>
                    <w:i/>
                    <w:iCs/>
                    <w:color w:val="000000"/>
                  </w:rPr>
                </m:ctrlPr>
              </m:sSubPr>
              <m:e>
                <m:r>
                  <w:rPr>
                    <w:rFonts w:ascii="Cambria Math" w:eastAsia="Cambria" w:hAnsi="Cambria Math"/>
                    <w:color w:val="000000"/>
                  </w:rPr>
                  <m:t>θ</m:t>
                </m:r>
              </m:e>
              <m:sub>
                <m:r>
                  <w:rPr>
                    <w:rFonts w:ascii="Cambria Math" w:eastAsia="Cambria" w:hAnsi="Cambria Math"/>
                    <w:color w:val="000000"/>
                  </w:rPr>
                  <m:t>H</m:t>
                </m:r>
              </m:sub>
            </m:sSub>
          </m:sup>
          <m:e>
            <m:nary>
              <m:naryPr>
                <m:chr m:val="∑"/>
                <m:limLoc m:val="subSup"/>
                <m:ctrlPr>
                  <w:rPr>
                    <w:rFonts w:ascii="Cambria Math" w:eastAsia="Cambria" w:hAnsi="Cambria Math"/>
                    <w:i/>
                    <w:iCs/>
                    <w:color w:val="000000"/>
                  </w:rPr>
                </m:ctrlPr>
              </m:naryPr>
              <m:sub>
                <m:r>
                  <w:rPr>
                    <w:rFonts w:ascii="Cambria Math" w:eastAsia="Cambria" w:hAnsi="Cambria Math"/>
                    <w:color w:val="000000"/>
                  </w:rPr>
                  <m:t>-π</m:t>
                </m:r>
              </m:sub>
              <m:sup>
                <m:r>
                  <w:rPr>
                    <w:rFonts w:ascii="Cambria Math" w:eastAsia="Cambria" w:hAnsi="Cambria Math"/>
                    <w:color w:val="000000"/>
                  </w:rPr>
                  <m:t>π</m:t>
                </m:r>
              </m:sup>
              <m:e>
                <m:r>
                  <w:rPr>
                    <w:rFonts w:ascii="Cambria Math" w:eastAsia="Cambria" w:hAnsi="Cambria Math"/>
                    <w:color w:val="000000"/>
                  </w:rPr>
                  <m:t>EIRP</m:t>
                </m:r>
                <m:d>
                  <m:dPr>
                    <m:ctrlPr>
                      <w:rPr>
                        <w:rFonts w:ascii="Cambria Math" w:eastAsia="Cambria" w:hAnsi="Cambria Math"/>
                        <w:i/>
                        <w:iCs/>
                        <w:color w:val="000000"/>
                      </w:rPr>
                    </m:ctrlPr>
                  </m:dPr>
                  <m:e>
                    <m:r>
                      <w:rPr>
                        <w:rFonts w:ascii="Cambria Math" w:hAnsi="Cambria Math" w:cs="Arial"/>
                        <w:color w:val="000000"/>
                      </w:rPr>
                      <m:t>θ,φ</m:t>
                    </m:r>
                  </m:e>
                </m:d>
                <m:r>
                  <w:rPr>
                    <w:rFonts w:ascii="Cambria Math" w:hAnsi="Cambria Math" w:cs="Arial"/>
                    <w:color w:val="000000"/>
                  </w:rPr>
                  <m:t xml:space="preserve"> cos</m:t>
                </m:r>
                <m:d>
                  <m:dPr>
                    <m:ctrlPr>
                      <w:rPr>
                        <w:rFonts w:ascii="Cambria Math" w:hAnsi="Cambria Math"/>
                        <w:i/>
                        <w:color w:val="000000"/>
                      </w:rPr>
                    </m:ctrlPr>
                  </m:dPr>
                  <m:e>
                    <m:r>
                      <w:rPr>
                        <w:rFonts w:ascii="Cambria Math" w:hAnsi="Cambria Math" w:cs="Arial"/>
                        <w:color w:val="000000"/>
                      </w:rPr>
                      <m:t>θ</m:t>
                    </m:r>
                  </m:e>
                </m:d>
                <m:r>
                  <w:rPr>
                    <w:rFonts w:ascii="Cambria Math" w:hAnsi="Cambria Math" w:cs="Arial"/>
                    <w:color w:val="000000"/>
                  </w:rPr>
                  <m:t xml:space="preserve"> ∆φ ∆θ</m:t>
                </m:r>
              </m:e>
            </m:nary>
          </m:e>
        </m:nary>
      </m:oMath>
      <w:r>
        <w:rPr>
          <w:rFonts w:eastAsiaTheme="minorEastAsia"/>
          <w:iCs/>
          <w:color w:val="000000"/>
        </w:rPr>
        <w:t xml:space="preserve">  ,</w:t>
      </w:r>
    </w:p>
    <w:p w14:paraId="2FA42913" w14:textId="77777777" w:rsidR="007753CB" w:rsidRDefault="007753CB" w:rsidP="007753CB">
      <w:pPr>
        <w:rPr>
          <w:rFonts w:eastAsiaTheme="minorEastAsia"/>
          <w:iCs/>
          <w:color w:val="000000"/>
        </w:rPr>
      </w:pPr>
      <w:proofErr w:type="gramStart"/>
      <w:r>
        <w:rPr>
          <w:rFonts w:eastAsiaTheme="minorEastAsia"/>
          <w:iCs/>
          <w:color w:val="000000"/>
        </w:rPr>
        <w:t>where</w:t>
      </w:r>
      <w:proofErr w:type="gramEnd"/>
    </w:p>
    <w:p w14:paraId="47C891E6" w14:textId="77777777" w:rsidR="007753CB" w:rsidRPr="005C480A" w:rsidRDefault="007753CB" w:rsidP="007753CB">
      <w:pPr>
        <w:rPr>
          <w:rFonts w:eastAsiaTheme="minorEastAsia"/>
        </w:rPr>
      </w:pPr>
      <m:oMathPara>
        <m:oMath>
          <m:r>
            <w:rPr>
              <w:rFonts w:ascii="Cambria Math" w:hAnsi="Cambria Math" w:cs="Arial"/>
              <w:color w:val="000000"/>
            </w:rPr>
            <m:t>dφ≈∆φ</m:t>
          </m:r>
          <m:r>
            <w:rPr>
              <w:rFonts w:ascii="Cambria Math" w:hAnsi="Cambria Math"/>
            </w:rPr>
            <m:t>=</m:t>
          </m:r>
          <m:f>
            <m:fPr>
              <m:ctrlPr>
                <w:rPr>
                  <w:rFonts w:ascii="Cambria Math" w:hAnsi="Cambria Math"/>
                  <w:i/>
                </w:rPr>
              </m:ctrlPr>
            </m:fPr>
            <m:num>
              <m:r>
                <w:rPr>
                  <w:rFonts w:ascii="Cambria Math" w:hAnsi="Cambria Math"/>
                </w:rPr>
                <m:t>2π</m:t>
              </m:r>
            </m:num>
            <m:den>
              <m:r>
                <w:rPr>
                  <w:rFonts w:ascii="Cambria Math" w:hAnsi="Cambria Math"/>
                </w:rPr>
                <m:t>M</m:t>
              </m:r>
            </m:den>
          </m:f>
        </m:oMath>
      </m:oMathPara>
    </w:p>
    <w:p w14:paraId="7491EFC8" w14:textId="77777777" w:rsidR="007753CB" w:rsidRPr="005C480A" w:rsidRDefault="007753CB" w:rsidP="007753CB">
      <w:pPr>
        <w:rPr>
          <w:rFonts w:eastAsiaTheme="minorEastAsia"/>
        </w:rPr>
      </w:pPr>
      <m:oMathPara>
        <m:oMath>
          <m:r>
            <w:rPr>
              <w:rFonts w:ascii="Cambria Math" w:hAnsi="Cambria Math" w:cs="Arial"/>
              <w:color w:val="000000"/>
            </w:rPr>
            <m:t>dθ≈∆θ</m:t>
          </m:r>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2N</m:t>
              </m:r>
            </m:den>
          </m:f>
        </m:oMath>
      </m:oMathPara>
    </w:p>
    <w:p w14:paraId="1DA8B396" w14:textId="77777777" w:rsidR="007753CB" w:rsidRDefault="007753CB" w:rsidP="007753CB">
      <w:r>
        <w:t xml:space="preserve">Therefore, the overall equation </w:t>
      </w:r>
      <w:proofErr w:type="gramStart"/>
      <w:r>
        <w:t>is</w:t>
      </w:r>
      <w:proofErr w:type="gramEnd"/>
    </w:p>
    <w:p w14:paraId="6BFE3291" w14:textId="77777777" w:rsidR="007753CB" w:rsidRDefault="007753CB" w:rsidP="007753CB">
      <w:pPr>
        <w:jc w:val="center"/>
      </w:pPr>
      <m:oMath>
        <m:r>
          <w:rPr>
            <w:rFonts w:ascii="Cambria Math" w:hAnsi="Cambria Math" w:cs="Arial"/>
            <w:color w:val="000000"/>
          </w:rPr>
          <m:t>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r>
              <w:rPr>
                <w:rFonts w:ascii="Cambria Math" w:eastAsia="Cambria" w:hAnsi="Cambria Math"/>
                <w:color w:val="000000"/>
              </w:rPr>
              <m:t>π</m:t>
            </m:r>
          </m:num>
          <m:den>
            <m:r>
              <w:rPr>
                <w:rFonts w:ascii="Cambria Math" w:hAnsi="Cambria Math" w:cs="Arial"/>
                <w:color w:val="000000"/>
              </w:rPr>
              <m:t>2MN</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chr m:val="∑"/>
            <m:limLoc m:val="subSup"/>
            <m:ctrlPr>
              <w:rPr>
                <w:rFonts w:ascii="Cambria Math" w:eastAsia="Cambria" w:hAnsi="Cambria Math"/>
                <w:i/>
                <w:iCs/>
                <w:color w:val="000000"/>
              </w:rPr>
            </m:ctrlPr>
          </m:naryPr>
          <m:sub>
            <m:r>
              <w:rPr>
                <w:rFonts w:ascii="Cambria Math" w:eastAsia="Cambria" w:hAnsi="Cambria Math"/>
                <w:color w:val="000000"/>
              </w:rPr>
              <m:t>n=</m:t>
            </m:r>
            <m:sSub>
              <m:sSubPr>
                <m:ctrlPr>
                  <w:rPr>
                    <w:rFonts w:ascii="Cambria Math" w:eastAsia="Cambria" w:hAnsi="Cambria Math"/>
                    <w:i/>
                    <w:iCs/>
                    <w:color w:val="000000"/>
                  </w:rPr>
                </m:ctrlPr>
              </m:sSubPr>
              <m:e>
                <m:r>
                  <w:rPr>
                    <w:rFonts w:ascii="Cambria Math" w:eastAsia="Cambria" w:hAnsi="Cambria Math"/>
                    <w:color w:val="000000"/>
                  </w:rPr>
                  <m:t>n</m:t>
                </m:r>
              </m:e>
              <m:sub>
                <m:r>
                  <w:rPr>
                    <w:rFonts w:ascii="Cambria Math" w:eastAsia="Cambria" w:hAnsi="Cambria Math"/>
                    <w:color w:val="000000"/>
                  </w:rPr>
                  <m:t>L</m:t>
                </m:r>
              </m:sub>
            </m:sSub>
          </m:sub>
          <m:sup>
            <m:sSub>
              <m:sSubPr>
                <m:ctrlPr>
                  <w:rPr>
                    <w:rFonts w:ascii="Cambria Math" w:eastAsia="Cambria" w:hAnsi="Cambria Math"/>
                    <w:i/>
                    <w:iCs/>
                    <w:color w:val="000000"/>
                  </w:rPr>
                </m:ctrlPr>
              </m:sSubPr>
              <m:e>
                <m:r>
                  <w:rPr>
                    <w:rFonts w:ascii="Cambria Math" w:eastAsia="Cambria" w:hAnsi="Cambria Math"/>
                    <w:color w:val="000000"/>
                  </w:rPr>
                  <m:t>n</m:t>
                </m:r>
              </m:e>
              <m:sub>
                <m:r>
                  <w:rPr>
                    <w:rFonts w:ascii="Cambria Math" w:eastAsia="Cambria" w:hAnsi="Cambria Math"/>
                    <w:color w:val="000000"/>
                  </w:rPr>
                  <m:t>H</m:t>
                </m:r>
              </m:sub>
            </m:sSub>
          </m:sup>
          <m:e>
            <m:nary>
              <m:naryPr>
                <m:chr m:val="∑"/>
                <m:limLoc m:val="subSup"/>
                <m:ctrlPr>
                  <w:rPr>
                    <w:rFonts w:ascii="Cambria Math" w:eastAsia="Cambria" w:hAnsi="Cambria Math"/>
                    <w:i/>
                    <w:iCs/>
                    <w:color w:val="000000"/>
                  </w:rPr>
                </m:ctrlPr>
              </m:naryPr>
              <m:sub>
                <m:r>
                  <w:rPr>
                    <w:rFonts w:ascii="Cambria Math" w:eastAsia="Cambria" w:hAnsi="Cambria Math"/>
                    <w:color w:val="000000"/>
                  </w:rPr>
                  <m:t>m=1</m:t>
                </m:r>
              </m:sub>
              <m:sup>
                <m:r>
                  <w:rPr>
                    <w:rFonts w:ascii="Cambria Math" w:eastAsia="Cambria" w:hAnsi="Cambria Math"/>
                    <w:color w:val="000000"/>
                  </w:rPr>
                  <m:t>M</m:t>
                </m:r>
              </m:sup>
              <m:e>
                <m:r>
                  <w:rPr>
                    <w:rFonts w:ascii="Cambria Math" w:eastAsia="Cambria" w:hAnsi="Cambria Math"/>
                    <w:color w:val="000000"/>
                  </w:rPr>
                  <m:t>EIRP</m:t>
                </m:r>
                <m:d>
                  <m:dPr>
                    <m:ctrlPr>
                      <w:rPr>
                        <w:rFonts w:ascii="Cambria Math" w:eastAsia="Cambria" w:hAnsi="Cambria Math"/>
                        <w:i/>
                        <w:iCs/>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φ</m:t>
                        </m:r>
                      </m:e>
                      <m:sub>
                        <m:r>
                          <w:rPr>
                            <w:rFonts w:ascii="Cambria Math" w:hAnsi="Cambria Math" w:cs="Arial"/>
                            <w:color w:val="000000"/>
                          </w:rPr>
                          <m:t>m</m:t>
                        </m:r>
                      </m:sub>
                    </m:sSub>
                  </m:e>
                </m:d>
                <m:r>
                  <w:rPr>
                    <w:rFonts w:ascii="Cambria Math" w:hAnsi="Cambria Math" w:cs="Arial"/>
                    <w:color w:val="000000"/>
                  </w:rPr>
                  <m:t xml:space="preserve"> cos</m:t>
                </m:r>
                <m:d>
                  <m:dPr>
                    <m:ctrlPr>
                      <w:rPr>
                        <w:rFonts w:ascii="Cambria Math" w:hAnsi="Cambria Math"/>
                        <w:i/>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e>
                </m:d>
              </m:e>
            </m:nary>
          </m:e>
        </m:nary>
      </m:oMath>
      <w:r>
        <w:rPr>
          <w:rFonts w:eastAsiaTheme="minorEastAsia"/>
          <w:iCs/>
          <w:color w:val="000000"/>
        </w:rPr>
        <w:t xml:space="preserve">  ,</w:t>
      </w:r>
    </w:p>
    <w:p w14:paraId="11E6E3E8" w14:textId="77777777" w:rsidR="007753CB" w:rsidRDefault="007753CB" w:rsidP="007753CB">
      <w:proofErr w:type="gramStart"/>
      <w:r>
        <w:t>where</w:t>
      </w:r>
      <w:proofErr w:type="gramEnd"/>
    </w:p>
    <w:p w14:paraId="61C1FF3D" w14:textId="77777777" w:rsidR="007753CB" w:rsidRDefault="00000000" w:rsidP="007753CB">
      <w:pPr>
        <w:spacing w:after="60"/>
        <w:ind w:left="1440"/>
      </w:pPr>
      <m:oMath>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oMath>
      <w:r w:rsidR="007753CB" w:rsidRPr="003E7670">
        <w:rPr>
          <w:rFonts w:cstheme="minorHAnsi"/>
        </w:rPr>
        <w:tab/>
      </w:r>
      <w:r w:rsidR="007753CB">
        <w:t xml:space="preserve">is the midpoint between the elevation </w:t>
      </w:r>
      <w:proofErr w:type="gramStart"/>
      <w:r w:rsidR="007753CB">
        <w:t>intervals</w:t>
      </w:r>
      <w:proofErr w:type="gramEnd"/>
    </w:p>
    <w:p w14:paraId="6A69BDB2" w14:textId="77777777" w:rsidR="007753CB" w:rsidRDefault="00000000" w:rsidP="007753CB">
      <w:pPr>
        <w:spacing w:after="60"/>
        <w:ind w:left="1440"/>
      </w:pPr>
      <m:oMath>
        <m:sSub>
          <m:sSubPr>
            <m:ctrlPr>
              <w:rPr>
                <w:rFonts w:ascii="Cambria Math" w:hAnsi="Cambria Math" w:cs="Arial"/>
                <w:i/>
                <w:color w:val="000000"/>
              </w:rPr>
            </m:ctrlPr>
          </m:sSubPr>
          <m:e>
            <m:r>
              <w:rPr>
                <w:rFonts w:ascii="Cambria Math" w:hAnsi="Cambria Math" w:cs="Arial"/>
                <w:color w:val="000000"/>
              </w:rPr>
              <m:t>φ</m:t>
            </m:r>
          </m:e>
          <m:sub>
            <m:r>
              <w:rPr>
                <w:rFonts w:ascii="Cambria Math" w:hAnsi="Cambria Math" w:cs="Arial"/>
                <w:color w:val="000000"/>
              </w:rPr>
              <m:t>m</m:t>
            </m:r>
          </m:sub>
        </m:sSub>
      </m:oMath>
      <w:r w:rsidR="007753CB">
        <w:tab/>
        <w:t xml:space="preserve">is the midpoint between the </w:t>
      </w:r>
      <w:proofErr w:type="gramStart"/>
      <w:r w:rsidR="007753CB">
        <w:t>azimuth</w:t>
      </w:r>
      <w:proofErr w:type="gramEnd"/>
      <w:r w:rsidR="007753CB">
        <w:t xml:space="preserve"> intervals</w:t>
      </w:r>
    </w:p>
    <w:p w14:paraId="759F3D23" w14:textId="77777777" w:rsidR="007753CB" w:rsidRDefault="00000000" w:rsidP="007753CB">
      <w:pPr>
        <w:spacing w:after="60"/>
        <w:ind w:left="1440"/>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L</m:t>
            </m:r>
          </m:sub>
        </m:sSub>
      </m:oMath>
      <w:r w:rsidR="007753CB">
        <w:rPr>
          <w:rFonts w:eastAsiaTheme="minorEastAsia"/>
        </w:rPr>
        <w:tab/>
        <w:t xml:space="preserve">is the lowest elevation point within the </w:t>
      </w:r>
      <m:oMath>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e>
        </m:d>
      </m:oMath>
      <w:r w:rsidR="007753CB">
        <w:rPr>
          <w:rFonts w:eastAsiaTheme="minorEastAsia"/>
        </w:rPr>
        <w:t xml:space="preserve"> bounding </w:t>
      </w:r>
      <w:proofErr w:type="gramStart"/>
      <w:r w:rsidR="007753CB">
        <w:rPr>
          <w:rFonts w:eastAsiaTheme="minorEastAsia"/>
        </w:rPr>
        <w:t>range</w:t>
      </w:r>
      <w:proofErr w:type="gramEnd"/>
    </w:p>
    <w:p w14:paraId="78F961FF" w14:textId="77777777" w:rsidR="007753CB" w:rsidRDefault="00000000" w:rsidP="007753CB">
      <w:pPr>
        <w:spacing w:after="60"/>
        <w:ind w:left="1440"/>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H</m:t>
            </m:r>
          </m:sub>
        </m:sSub>
      </m:oMath>
      <w:r w:rsidR="007753CB">
        <w:rPr>
          <w:rFonts w:eastAsiaTheme="minorEastAsia"/>
        </w:rPr>
        <w:tab/>
        <w:t xml:space="preserve">is the highest elevation point within the </w:t>
      </w:r>
      <m:oMath>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e>
        </m:d>
      </m:oMath>
      <w:r w:rsidR="007753CB">
        <w:rPr>
          <w:rFonts w:eastAsiaTheme="minorEastAsia"/>
        </w:rPr>
        <w:t xml:space="preserve"> bounding </w:t>
      </w:r>
      <w:proofErr w:type="gramStart"/>
      <w:r w:rsidR="007753CB">
        <w:rPr>
          <w:rFonts w:eastAsiaTheme="minorEastAsia"/>
        </w:rPr>
        <w:t>range</w:t>
      </w:r>
      <w:proofErr w:type="gramEnd"/>
    </w:p>
    <w:p w14:paraId="12315E43" w14:textId="77777777" w:rsidR="007753CB" w:rsidRDefault="007753CB" w:rsidP="007753CB">
      <w:pPr>
        <w:spacing w:after="60"/>
        <w:ind w:left="1440"/>
        <w:rPr>
          <w:rFonts w:eastAsiaTheme="minorEastAsia"/>
        </w:rPr>
      </w:pPr>
      <m:oMath>
        <m:r>
          <w:rPr>
            <w:rFonts w:ascii="Cambria Math" w:hAnsi="Cambria Math"/>
          </w:rPr>
          <m:t>m</m:t>
        </m:r>
      </m:oMath>
      <w:r>
        <w:rPr>
          <w:rFonts w:eastAsiaTheme="minorEastAsia"/>
        </w:rPr>
        <w:tab/>
        <w:t xml:space="preserve">is the azimuth point within the </w:t>
      </w:r>
      <m:oMath>
        <m:d>
          <m:dPr>
            <m:ctrlPr>
              <w:rPr>
                <w:rFonts w:ascii="Cambria Math" w:hAnsi="Cambria Math" w:cs="Arial"/>
                <w:i/>
                <w:color w:val="000000"/>
              </w:rPr>
            </m:ctrlPr>
          </m:dPr>
          <m:e>
            <m:r>
              <w:rPr>
                <w:rFonts w:ascii="Cambria Math" w:eastAsia="Cambria" w:hAnsi="Cambria Math"/>
                <w:color w:val="000000"/>
              </w:rPr>
              <m:t>-π , π</m:t>
            </m:r>
          </m:e>
        </m:d>
      </m:oMath>
      <w:r>
        <w:rPr>
          <w:rFonts w:eastAsiaTheme="minorEastAsia"/>
        </w:rPr>
        <w:t xml:space="preserve"> bounding </w:t>
      </w:r>
      <w:proofErr w:type="gramStart"/>
      <w:r>
        <w:rPr>
          <w:rFonts w:eastAsiaTheme="minorEastAsia"/>
        </w:rPr>
        <w:t>range</w:t>
      </w:r>
      <w:proofErr w:type="gramEnd"/>
    </w:p>
    <w:p w14:paraId="0AF9F61A" w14:textId="5053F0A2" w:rsidR="007753CB" w:rsidRDefault="007753CB" w:rsidP="007753CB">
      <w:pPr>
        <w:spacing w:after="60"/>
        <w:rPr>
          <w:rFonts w:eastAsiaTheme="minorEastAsia"/>
        </w:rPr>
      </w:pPr>
      <w:r>
        <w:rPr>
          <w:rFonts w:eastAsiaTheme="minorEastAsia"/>
        </w:rPr>
        <w:t>Note: the equation is assuming the angles in radians and the elevation angle is from horizon rather than the coordinate system defined in 3GPP.</w:t>
      </w:r>
    </w:p>
    <w:p w14:paraId="7E894DA6" w14:textId="77777777" w:rsidR="007753CB" w:rsidRDefault="007753CB" w:rsidP="007753CB">
      <w:pPr>
        <w:spacing w:after="60"/>
        <w:rPr>
          <w:rFonts w:eastAsiaTheme="minorEastAsia"/>
        </w:rPr>
      </w:pPr>
    </w:p>
    <w:p w14:paraId="5CA58617" w14:textId="0E386FD4" w:rsidR="007753CB" w:rsidRDefault="007753CB" w:rsidP="007753CB">
      <w:pPr>
        <w:pStyle w:val="RAN4observation0"/>
        <w:numPr>
          <w:ilvl w:val="0"/>
          <w:numId w:val="0"/>
        </w:numPr>
      </w:pPr>
      <w:bookmarkStart w:id="6" w:name="_Hlk163122986"/>
      <w:r w:rsidRPr="00E06AF9">
        <w:rPr>
          <w:b/>
          <w:bCs/>
        </w:rPr>
        <w:t xml:space="preserve">Observation </w:t>
      </w:r>
      <w:r>
        <w:rPr>
          <w:b/>
          <w:bCs/>
        </w:rPr>
        <w:t>3</w:t>
      </w:r>
      <w:r w:rsidRPr="00E06AF9">
        <w:t>:</w:t>
      </w:r>
      <w:r>
        <w:t xml:space="preserve"> </w:t>
      </w:r>
      <w:r w:rsidR="00142243" w:rsidRPr="00142243">
        <w:t>Angular steps size both in horizontal and vertical will impact test effort</w:t>
      </w:r>
      <w:r w:rsidR="00142243">
        <w:t>.</w:t>
      </w:r>
      <w:r>
        <w:t xml:space="preserve"> </w:t>
      </w:r>
    </w:p>
    <w:p w14:paraId="16169782" w14:textId="1C69866C" w:rsidR="00EB69D9" w:rsidRDefault="00EB69D9">
      <w:r w:rsidRPr="00E430A7">
        <w:rPr>
          <w:b/>
          <w:bCs/>
        </w:rPr>
        <w:t xml:space="preserve">Proposal </w:t>
      </w:r>
      <w:r>
        <w:rPr>
          <w:b/>
          <w:bCs/>
        </w:rPr>
        <w:t>2</w:t>
      </w:r>
      <w:r>
        <w:t>: RAN4 to consider the number of measurement points when defining the calculation methodology.</w:t>
      </w:r>
    </w:p>
    <w:p w14:paraId="7C067660" w14:textId="77777777" w:rsidR="00142243" w:rsidRDefault="00142243"/>
    <w:p w14:paraId="536417F5" w14:textId="24E9F38F" w:rsidR="00142243" w:rsidRPr="00EB69D9" w:rsidRDefault="00142243" w:rsidP="0005688A">
      <w:r w:rsidRPr="00E06AF9">
        <w:rPr>
          <w:b/>
          <w:bCs/>
        </w:rPr>
        <w:t xml:space="preserve">Observation </w:t>
      </w:r>
      <w:r>
        <w:rPr>
          <w:b/>
          <w:bCs/>
        </w:rPr>
        <w:t>4</w:t>
      </w:r>
      <w:r w:rsidRPr="00E06AF9">
        <w:t>:</w:t>
      </w:r>
      <w:r>
        <w:t xml:space="preserve"> Number of frequencies to measure in operating band will impact test effort.</w:t>
      </w:r>
    </w:p>
    <w:p w14:paraId="462F95FA" w14:textId="3A1FCBC7" w:rsidR="00CD461C" w:rsidRDefault="00142243" w:rsidP="00AB1C73">
      <w:r w:rsidRPr="00E430A7">
        <w:rPr>
          <w:b/>
          <w:bCs/>
        </w:rPr>
        <w:t xml:space="preserve">Proposal </w:t>
      </w:r>
      <w:r>
        <w:rPr>
          <w:b/>
          <w:bCs/>
        </w:rPr>
        <w:t>3</w:t>
      </w:r>
      <w:r>
        <w:t>: RAN4 to consider the number of frequencies to measure when defining the calculation methodology.</w:t>
      </w:r>
    </w:p>
    <w:bookmarkEnd w:id="6"/>
    <w:p w14:paraId="0BC2A9A6" w14:textId="77777777" w:rsidR="00142243" w:rsidRPr="00AB1C73" w:rsidRDefault="00142243" w:rsidP="00AB1C73"/>
    <w:p w14:paraId="2F98B9A0" w14:textId="77777777" w:rsidR="00CD7492" w:rsidRPr="008C39F7" w:rsidRDefault="00CD7492" w:rsidP="00A37002">
      <w:pPr>
        <w:pStyle w:val="RAN4H1"/>
      </w:pPr>
      <w:bookmarkStart w:id="7" w:name="_Toc116995848"/>
      <w:r w:rsidRPr="008C39F7">
        <w:t>Conclusion</w:t>
      </w:r>
      <w:bookmarkEnd w:id="7"/>
    </w:p>
    <w:p w14:paraId="5D84AAC6" w14:textId="029D3C9E" w:rsidR="008C39F7" w:rsidRDefault="00E06AF9" w:rsidP="008C39F7">
      <w:bookmarkStart w:id="8" w:name="_Toc116995849"/>
      <w:r w:rsidRPr="00E06AF9">
        <w:t xml:space="preserve">In this contribution we </w:t>
      </w:r>
      <w:r>
        <w:t xml:space="preserve">discuss </w:t>
      </w:r>
      <w:r w:rsidRPr="00E06AF9">
        <w:t>expected EIPR mask for upper 6 GHz</w:t>
      </w:r>
      <w:r>
        <w:t xml:space="preserve"> according </w:t>
      </w:r>
      <w:r w:rsidRPr="00E06AF9">
        <w:t xml:space="preserve">ITU Resolution </w:t>
      </w:r>
      <w:r w:rsidR="00EB69D9">
        <w:t>220</w:t>
      </w:r>
      <w:r w:rsidRPr="00E06AF9">
        <w:t xml:space="preserve"> (</w:t>
      </w:r>
      <w:r w:rsidR="00EB69D9">
        <w:t xml:space="preserve">previously known as </w:t>
      </w:r>
      <w:r w:rsidRPr="00E06AF9">
        <w:t xml:space="preserve">Resolution </w:t>
      </w:r>
      <w:r w:rsidR="00EB69D9">
        <w:t>COM4/7</w:t>
      </w:r>
      <w:r w:rsidRPr="00E06AF9">
        <w:t>)</w:t>
      </w:r>
      <w:r>
        <w:t xml:space="preserve">. </w:t>
      </w:r>
      <w:r w:rsidR="00CD6020">
        <w:t xml:space="preserve">We presented example </w:t>
      </w:r>
      <w:r w:rsidR="00CD6020" w:rsidRPr="00CD6020">
        <w:t xml:space="preserve">illustrate the associated weights for different number of beamforming </w:t>
      </w:r>
      <w:r w:rsidR="00CD6020" w:rsidRPr="00CD6020">
        <w:lastRenderedPageBreak/>
        <w:t>directions, and how the average e.i.r.p. for the first stage is calculated.</w:t>
      </w:r>
      <w:r w:rsidR="00EB69D9">
        <w:t xml:space="preserve"> We have also included a basic methodology on the second stage of the averaging process.</w:t>
      </w:r>
      <w:r w:rsidR="00CD6020">
        <w:t xml:space="preserve"> </w:t>
      </w:r>
      <w:r>
        <w:t>We have made following observations and proposals</w:t>
      </w:r>
      <w:r w:rsidR="0005688A">
        <w:t>:</w:t>
      </w:r>
    </w:p>
    <w:p w14:paraId="5CC7180E" w14:textId="651683F7" w:rsidR="0005688A" w:rsidRPr="00E06AF9" w:rsidRDefault="0005688A" w:rsidP="0005688A">
      <w:pPr>
        <w:spacing w:before="240" w:after="0"/>
      </w:pPr>
      <w:r w:rsidRPr="00E06AF9">
        <w:rPr>
          <w:b/>
          <w:bCs/>
        </w:rPr>
        <w:t>Observation 1</w:t>
      </w:r>
      <w:r w:rsidRPr="00E06AF9">
        <w:t xml:space="preserve">: The key requirements of ITU Resolution 220 [2] are: </w:t>
      </w:r>
    </w:p>
    <w:p w14:paraId="5CF2BF3B" w14:textId="77777777" w:rsidR="0005688A" w:rsidRPr="00E06AF9" w:rsidRDefault="0005688A" w:rsidP="0005688A">
      <w:pPr>
        <w:pStyle w:val="ListParagraph"/>
        <w:numPr>
          <w:ilvl w:val="0"/>
          <w:numId w:val="42"/>
        </w:numPr>
        <w:spacing w:before="240" w:after="0"/>
      </w:pPr>
      <w:r w:rsidRPr="00E06AF9">
        <w:t xml:space="preserve">compliance with values of expected e.i.r.p above the horizon and  </w:t>
      </w:r>
    </w:p>
    <w:p w14:paraId="679F14B8" w14:textId="77777777" w:rsidR="0005688A" w:rsidRPr="00E06AF9" w:rsidRDefault="0005688A" w:rsidP="0005688A">
      <w:pPr>
        <w:pStyle w:val="ListParagraph"/>
        <w:numPr>
          <w:ilvl w:val="0"/>
          <w:numId w:val="42"/>
        </w:numPr>
        <w:spacing w:before="240" w:after="0"/>
      </w:pPr>
      <w:r>
        <w:t xml:space="preserve">providing </w:t>
      </w:r>
      <w:r w:rsidRPr="00E06AF9">
        <w:t>a</w:t>
      </w:r>
      <w:r>
        <w:t xml:space="preserve"> calculation methodology to the </w:t>
      </w:r>
      <w:r w:rsidRPr="00E06AF9">
        <w:t xml:space="preserve">theoretical procedure given in </w:t>
      </w:r>
      <w:r>
        <w:t xml:space="preserve">the </w:t>
      </w:r>
      <w:r w:rsidRPr="00E06AF9">
        <w:t xml:space="preserve">Annex to Resolution </w:t>
      </w:r>
      <w:r>
        <w:t xml:space="preserve">220 </w:t>
      </w:r>
      <w:r w:rsidRPr="00E06AF9">
        <w:t>[2]</w:t>
      </w:r>
    </w:p>
    <w:p w14:paraId="35AAC9BF" w14:textId="77777777" w:rsidR="0005688A" w:rsidRDefault="0005688A" w:rsidP="0005688A">
      <w:pPr>
        <w:spacing w:before="240"/>
      </w:pPr>
      <w:r w:rsidRPr="0005688A">
        <w:rPr>
          <w:b/>
          <w:bCs/>
        </w:rPr>
        <w:t>Observation 2</w:t>
      </w:r>
      <w:r>
        <w:t>: The number of beamforming directions defined will impact test effort and increasing the number of these beams will increase the time it takes to test.</w:t>
      </w:r>
    </w:p>
    <w:p w14:paraId="43CFE5C6" w14:textId="740A8065" w:rsidR="0005688A" w:rsidRDefault="0005688A" w:rsidP="0005688A">
      <w:pPr>
        <w:spacing w:before="240"/>
      </w:pPr>
      <w:r w:rsidRPr="0005688A">
        <w:rPr>
          <w:b/>
          <w:bCs/>
        </w:rPr>
        <w:t>Proposal 1</w:t>
      </w:r>
      <w:r>
        <w:t>: RAN4 to consider correct values of beamforming directions taking into account all aspects.</w:t>
      </w:r>
    </w:p>
    <w:p w14:paraId="4C151438" w14:textId="77777777" w:rsidR="0005688A" w:rsidRPr="0005688A" w:rsidRDefault="0005688A" w:rsidP="0005688A">
      <w:pPr>
        <w:spacing w:before="240"/>
        <w:contextualSpacing/>
        <w:rPr>
          <w:rFonts w:eastAsia="Calibri" w:cs="Times New Roman"/>
          <w:szCs w:val="20"/>
        </w:rPr>
      </w:pPr>
      <w:r w:rsidRPr="0005688A">
        <w:rPr>
          <w:rFonts w:eastAsia="Calibri" w:cs="Times New Roman"/>
          <w:b/>
          <w:bCs/>
          <w:szCs w:val="20"/>
        </w:rPr>
        <w:t>Observation 3</w:t>
      </w:r>
      <w:r w:rsidRPr="0005688A">
        <w:rPr>
          <w:rFonts w:eastAsia="Calibri" w:cs="Times New Roman"/>
          <w:szCs w:val="20"/>
        </w:rPr>
        <w:t xml:space="preserve">: Angular steps size both in horizontal and vertical will impact test effort. </w:t>
      </w:r>
    </w:p>
    <w:p w14:paraId="5FB592AA" w14:textId="77777777" w:rsidR="0005688A" w:rsidRPr="0005688A" w:rsidRDefault="0005688A" w:rsidP="0005688A">
      <w:pPr>
        <w:spacing w:before="240"/>
      </w:pPr>
      <w:r w:rsidRPr="0005688A">
        <w:rPr>
          <w:b/>
          <w:bCs/>
        </w:rPr>
        <w:t>Proposal 2</w:t>
      </w:r>
      <w:r w:rsidRPr="0005688A">
        <w:t>: RAN4 to consider the number of measurement points when defining the calculation methodology.</w:t>
      </w:r>
    </w:p>
    <w:p w14:paraId="4D0876B9" w14:textId="77777777" w:rsidR="0005688A" w:rsidRPr="0005688A" w:rsidRDefault="0005688A" w:rsidP="0005688A">
      <w:pPr>
        <w:spacing w:before="240"/>
      </w:pPr>
      <w:r w:rsidRPr="0005688A">
        <w:rPr>
          <w:b/>
          <w:bCs/>
        </w:rPr>
        <w:t>Observation 4</w:t>
      </w:r>
      <w:r w:rsidRPr="0005688A">
        <w:t>: Number of frequencies to measure in operating band will impact test effort.</w:t>
      </w:r>
    </w:p>
    <w:p w14:paraId="58BF6B20" w14:textId="77777777" w:rsidR="0005688A" w:rsidRPr="0005688A" w:rsidRDefault="0005688A" w:rsidP="0005688A">
      <w:pPr>
        <w:spacing w:before="240"/>
      </w:pPr>
      <w:r w:rsidRPr="0005688A">
        <w:rPr>
          <w:b/>
          <w:bCs/>
        </w:rPr>
        <w:t>Proposal 3</w:t>
      </w:r>
      <w:r w:rsidRPr="0005688A">
        <w:t>: RAN4 to consider the number of frequencies to measure when defining the calculation methodology.</w:t>
      </w:r>
    </w:p>
    <w:p w14:paraId="28A0D2D0" w14:textId="77777777" w:rsidR="00864BB5" w:rsidRDefault="00864BB5" w:rsidP="008C39F7"/>
    <w:p w14:paraId="459843A6" w14:textId="6EC2AC09" w:rsidR="003B659E" w:rsidRPr="008C39F7" w:rsidRDefault="003B659E" w:rsidP="0060543D">
      <w:pPr>
        <w:pStyle w:val="RAN4H1"/>
        <w:numPr>
          <w:ilvl w:val="0"/>
          <w:numId w:val="0"/>
        </w:numPr>
        <w:ind w:left="360" w:hanging="360"/>
      </w:pPr>
      <w:r w:rsidRPr="008C39F7">
        <w:t>References</w:t>
      </w:r>
      <w:bookmarkEnd w:id="8"/>
    </w:p>
    <w:p w14:paraId="7D680959" w14:textId="2AB7912B" w:rsidR="00687FA0" w:rsidRDefault="005C4385" w:rsidP="00DB1012">
      <w:pPr>
        <w:ind w:right="-22"/>
      </w:pPr>
      <w:bookmarkStart w:id="9" w:name="_Ref114500673"/>
      <w:bookmarkStart w:id="10" w:name="_Hlk134255185"/>
      <w:bookmarkEnd w:id="9"/>
      <w:r>
        <w:t xml:space="preserve">[1] </w:t>
      </w:r>
      <w:r w:rsidR="00DA31C7" w:rsidRPr="00DA31C7">
        <w:t>RP-240829</w:t>
      </w:r>
      <w:r w:rsidR="00DA31C7">
        <w:t xml:space="preserve">, </w:t>
      </w:r>
      <w:r w:rsidR="00DA31C7" w:rsidRPr="00DA31C7">
        <w:t>New WID: NR base station (BS) RF requirement evolution for FR1/FR2 and testing</w:t>
      </w:r>
      <w:r w:rsidR="00DA31C7">
        <w:t xml:space="preserve">, </w:t>
      </w:r>
      <w:r w:rsidR="00DA31C7" w:rsidRPr="00DA31C7">
        <w:t>RAN4 Chair (Huawei)</w:t>
      </w:r>
    </w:p>
    <w:p w14:paraId="2903A151" w14:textId="4F7B9DF5" w:rsidR="00863EAF" w:rsidRDefault="00863EAF" w:rsidP="00DB1012">
      <w:pPr>
        <w:ind w:right="-22"/>
      </w:pPr>
      <w:r>
        <w:t>[2] ITU WRC-23, Final Acts, Resolution</w:t>
      </w:r>
      <w:r w:rsidR="00D44921">
        <w:t xml:space="preserve"> 220</w:t>
      </w:r>
    </w:p>
    <w:bookmarkEnd w:id="10"/>
    <w:p w14:paraId="58324F72" w14:textId="0251B6C6" w:rsidR="000040DC" w:rsidRDefault="000040DC" w:rsidP="00CE4D87">
      <w:pPr>
        <w:pStyle w:val="ListParagraph"/>
        <w:ind w:right="-22"/>
      </w:pPr>
    </w:p>
    <w:p w14:paraId="2D91820C" w14:textId="77777777" w:rsidR="00863EAF" w:rsidRPr="00863EAF" w:rsidRDefault="00863EAF" w:rsidP="00863EAF"/>
    <w:p w14:paraId="4236E49F" w14:textId="42399D3A" w:rsidR="00863EAF" w:rsidRDefault="00863EAF" w:rsidP="00863EAF">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36"/>
          <w:szCs w:val="20"/>
        </w:rPr>
      </w:pPr>
      <w:r>
        <w:rPr>
          <w:rFonts w:ascii="Arial" w:eastAsia="SimSun" w:hAnsi="Arial" w:cs="Times New Roman"/>
          <w:sz w:val="36"/>
          <w:szCs w:val="20"/>
        </w:rPr>
        <w:lastRenderedPageBreak/>
        <w:t>Annex</w:t>
      </w:r>
    </w:p>
    <w:p w14:paraId="08C2CDC6" w14:textId="5AEFDE8E" w:rsidR="00863EAF" w:rsidRPr="00863EAF" w:rsidRDefault="00863EAF" w:rsidP="00863EAF">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28"/>
          <w:szCs w:val="16"/>
        </w:rPr>
      </w:pPr>
      <w:r w:rsidRPr="00863EAF">
        <w:rPr>
          <w:rFonts w:ascii="Arial" w:eastAsia="SimSun" w:hAnsi="Arial" w:cs="Times New Roman"/>
          <w:sz w:val="28"/>
          <w:szCs w:val="16"/>
        </w:rPr>
        <w:t xml:space="preserve">Excerpt from ITU WRC-23, Final Acts, Resolution </w:t>
      </w:r>
      <w:r w:rsidR="00A547B2">
        <w:rPr>
          <w:rFonts w:ascii="Arial" w:eastAsia="SimSun" w:hAnsi="Arial" w:cs="Times New Roman"/>
          <w:sz w:val="28"/>
          <w:szCs w:val="16"/>
        </w:rPr>
        <w:t>220</w:t>
      </w:r>
      <w:r>
        <w:rPr>
          <w:rFonts w:ascii="Arial" w:eastAsia="SimSun" w:hAnsi="Arial" w:cs="Times New Roman"/>
          <w:sz w:val="28"/>
          <w:szCs w:val="16"/>
        </w:rPr>
        <w:t>:</w:t>
      </w:r>
    </w:p>
    <w:p w14:paraId="3660A1DF" w14:textId="77777777" w:rsidR="00863EAF" w:rsidRPr="00863EAF" w:rsidRDefault="00863EAF" w:rsidP="00863EAF">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36"/>
          <w:szCs w:val="20"/>
        </w:rPr>
      </w:pPr>
    </w:p>
    <w:p w14:paraId="5092602D" w14:textId="0542A8C6" w:rsidR="00863EAF" w:rsidRDefault="00D41ED4" w:rsidP="00863EAF">
      <w:pPr>
        <w:ind w:right="-22"/>
        <w:jc w:val="center"/>
      </w:pPr>
      <w:r>
        <w:rPr>
          <w:noProof/>
        </w:rPr>
        <w:drawing>
          <wp:inline distT="0" distB="0" distL="0" distR="0" wp14:anchorId="473182FD" wp14:editId="4DF9DA90">
            <wp:extent cx="5706110" cy="6546850"/>
            <wp:effectExtent l="0" t="0" r="8890" b="6350"/>
            <wp:docPr id="11876618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6110" cy="6546850"/>
                    </a:xfrm>
                    <a:prstGeom prst="rect">
                      <a:avLst/>
                    </a:prstGeom>
                    <a:noFill/>
                    <a:ln>
                      <a:noFill/>
                    </a:ln>
                  </pic:spPr>
                </pic:pic>
              </a:graphicData>
            </a:graphic>
          </wp:inline>
        </w:drawing>
      </w:r>
    </w:p>
    <w:p w14:paraId="2BAB3070" w14:textId="0878CCCB" w:rsidR="00863EAF" w:rsidRPr="00FE4FA6" w:rsidRDefault="00D41ED4" w:rsidP="00863EAF">
      <w:pPr>
        <w:pStyle w:val="ListParagraph"/>
        <w:ind w:right="-22"/>
        <w:jc w:val="center"/>
      </w:pPr>
      <w:r>
        <w:rPr>
          <w:noProof/>
        </w:rPr>
        <w:lastRenderedPageBreak/>
        <w:drawing>
          <wp:inline distT="0" distB="0" distL="0" distR="0" wp14:anchorId="74AEED5A" wp14:editId="06B92979">
            <wp:extent cx="4596130" cy="9058910"/>
            <wp:effectExtent l="0" t="0" r="0" b="8890"/>
            <wp:docPr id="4576559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96130" cy="9058910"/>
                    </a:xfrm>
                    <a:prstGeom prst="rect">
                      <a:avLst/>
                    </a:prstGeom>
                    <a:noFill/>
                    <a:ln>
                      <a:noFill/>
                    </a:ln>
                  </pic:spPr>
                </pic:pic>
              </a:graphicData>
            </a:graphic>
          </wp:inline>
        </w:drawing>
      </w:r>
    </w:p>
    <w:sectPr w:rsidR="00863EAF" w:rsidRPr="00FE4FA6" w:rsidSect="00CB3CA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FFEF1" w14:textId="77777777" w:rsidR="00CB3CA7" w:rsidRDefault="00CB3CA7" w:rsidP="00001C9B">
      <w:pPr>
        <w:spacing w:after="0" w:line="240" w:lineRule="auto"/>
      </w:pPr>
      <w:r>
        <w:separator/>
      </w:r>
    </w:p>
  </w:endnote>
  <w:endnote w:type="continuationSeparator" w:id="0">
    <w:p w14:paraId="6477533F" w14:textId="77777777" w:rsidR="00CB3CA7" w:rsidRDefault="00CB3CA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89BEC" w14:textId="77777777" w:rsidR="00CB3CA7" w:rsidRDefault="00CB3CA7" w:rsidP="00001C9B">
      <w:pPr>
        <w:spacing w:after="0" w:line="240" w:lineRule="auto"/>
      </w:pPr>
      <w:r>
        <w:separator/>
      </w:r>
    </w:p>
  </w:footnote>
  <w:footnote w:type="continuationSeparator" w:id="0">
    <w:p w14:paraId="72DE5215" w14:textId="77777777" w:rsidR="00CB3CA7" w:rsidRDefault="00CB3CA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B02070"/>
    <w:multiLevelType w:val="multilevel"/>
    <w:tmpl w:val="52DC48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315ED"/>
    <w:multiLevelType w:val="multilevel"/>
    <w:tmpl w:val="A7B4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F23AA9"/>
    <w:multiLevelType w:val="hybridMultilevel"/>
    <w:tmpl w:val="617AF990"/>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8B5D3E"/>
    <w:multiLevelType w:val="hybridMultilevel"/>
    <w:tmpl w:val="617AF9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074A6D"/>
    <w:multiLevelType w:val="multilevel"/>
    <w:tmpl w:val="A5484FA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heme="minorHAnsi" w:hAnsi="Wingding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D4590"/>
    <w:multiLevelType w:val="multilevel"/>
    <w:tmpl w:val="CBBEE9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40972536"/>
    <w:multiLevelType w:val="multilevel"/>
    <w:tmpl w:val="8660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A94D6B"/>
    <w:multiLevelType w:val="multilevel"/>
    <w:tmpl w:val="7D98B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AE56A0"/>
    <w:multiLevelType w:val="hybridMultilevel"/>
    <w:tmpl w:val="08C8391C"/>
    <w:lvl w:ilvl="0" w:tplc="0415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4004CC"/>
    <w:multiLevelType w:val="multilevel"/>
    <w:tmpl w:val="87F0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194567"/>
    <w:multiLevelType w:val="hybridMultilevel"/>
    <w:tmpl w:val="617AF9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945348">
    <w:abstractNumId w:val="4"/>
  </w:num>
  <w:num w:numId="2" w16cid:durableId="1469392472">
    <w:abstractNumId w:val="12"/>
  </w:num>
  <w:num w:numId="3" w16cid:durableId="1792749823">
    <w:abstractNumId w:val="20"/>
  </w:num>
  <w:num w:numId="4" w16cid:durableId="517735681">
    <w:abstractNumId w:val="11"/>
  </w:num>
  <w:num w:numId="5" w16cid:durableId="1142041724">
    <w:abstractNumId w:val="25"/>
  </w:num>
  <w:num w:numId="6" w16cid:durableId="80681869">
    <w:abstractNumId w:val="18"/>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8"/>
    <w:lvlOverride w:ilvl="0">
      <w:startOverride w:val="1"/>
    </w:lvlOverride>
  </w:num>
  <w:num w:numId="12" w16cid:durableId="122584543">
    <w:abstractNumId w:val="19"/>
    <w:lvlOverride w:ilvl="0">
      <w:startOverride w:val="1"/>
    </w:lvlOverride>
  </w:num>
  <w:num w:numId="13" w16cid:durableId="818807267">
    <w:abstractNumId w:val="18"/>
    <w:lvlOverride w:ilvl="0">
      <w:startOverride w:val="1"/>
    </w:lvlOverride>
  </w:num>
  <w:num w:numId="14" w16cid:durableId="883829348">
    <w:abstractNumId w:val="19"/>
    <w:lvlOverride w:ilvl="0">
      <w:startOverride w:val="1"/>
    </w:lvlOverride>
  </w:num>
  <w:num w:numId="15" w16cid:durableId="438372887">
    <w:abstractNumId w:val="26"/>
  </w:num>
  <w:num w:numId="16" w16cid:durableId="516113510">
    <w:abstractNumId w:val="8"/>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3"/>
  </w:num>
  <w:num w:numId="22" w16cid:durableId="1938362445">
    <w:abstractNumId w:val="18"/>
    <w:lvlOverride w:ilvl="0">
      <w:startOverride w:val="1"/>
    </w:lvlOverride>
  </w:num>
  <w:num w:numId="23" w16cid:durableId="913515990">
    <w:abstractNumId w:val="19"/>
    <w:lvlOverride w:ilvl="0">
      <w:startOverride w:val="1"/>
    </w:lvlOverride>
  </w:num>
  <w:num w:numId="24" w16cid:durableId="978418003">
    <w:abstractNumId w:val="5"/>
  </w:num>
  <w:num w:numId="25" w16cid:durableId="143009612">
    <w:abstractNumId w:val="3"/>
  </w:num>
  <w:num w:numId="26" w16cid:durableId="212620654">
    <w:abstractNumId w:val="3"/>
    <w:lvlOverride w:ilvl="0">
      <w:startOverride w:val="1"/>
    </w:lvlOverride>
  </w:num>
  <w:num w:numId="27" w16cid:durableId="304163020">
    <w:abstractNumId w:val="27"/>
  </w:num>
  <w:num w:numId="28" w16cid:durableId="1513568488">
    <w:abstractNumId w:val="16"/>
  </w:num>
  <w:num w:numId="29" w16cid:durableId="1254779312">
    <w:abstractNumId w:val="15"/>
  </w:num>
  <w:num w:numId="30" w16cid:durableId="1285771872">
    <w:abstractNumId w:val="13"/>
  </w:num>
  <w:num w:numId="31" w16cid:durableId="1475247227">
    <w:abstractNumId w:val="2"/>
  </w:num>
  <w:num w:numId="32" w16cid:durableId="17826010">
    <w:abstractNumId w:val="10"/>
  </w:num>
  <w:num w:numId="33" w16cid:durableId="1020009735">
    <w:abstractNumId w:val="0"/>
  </w:num>
  <w:num w:numId="34" w16cid:durableId="1139492689">
    <w:abstractNumId w:val="7"/>
  </w:num>
  <w:num w:numId="35" w16cid:durableId="73672343">
    <w:abstractNumId w:val="1"/>
  </w:num>
  <w:num w:numId="36" w16cid:durableId="1624261806">
    <w:abstractNumId w:val="22"/>
  </w:num>
  <w:num w:numId="37" w16cid:durableId="1511724587">
    <w:abstractNumId w:val="14"/>
  </w:num>
  <w:num w:numId="38" w16cid:durableId="306740569">
    <w:abstractNumId w:val="6"/>
  </w:num>
  <w:num w:numId="39" w16cid:durableId="709960220">
    <w:abstractNumId w:val="24"/>
  </w:num>
  <w:num w:numId="40" w16cid:durableId="1854110178">
    <w:abstractNumId w:val="9"/>
  </w:num>
  <w:num w:numId="41" w16cid:durableId="1473912428">
    <w:abstractNumId w:val="21"/>
  </w:num>
  <w:num w:numId="42" w16cid:durableId="120848717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1C9B"/>
    <w:rsid w:val="000040DC"/>
    <w:rsid w:val="00011784"/>
    <w:rsid w:val="000134E4"/>
    <w:rsid w:val="000151EF"/>
    <w:rsid w:val="00023445"/>
    <w:rsid w:val="000239F5"/>
    <w:rsid w:val="00031C6D"/>
    <w:rsid w:val="000358AD"/>
    <w:rsid w:val="000510ED"/>
    <w:rsid w:val="0005688A"/>
    <w:rsid w:val="000802A6"/>
    <w:rsid w:val="0008612A"/>
    <w:rsid w:val="000872D2"/>
    <w:rsid w:val="00090E18"/>
    <w:rsid w:val="00093341"/>
    <w:rsid w:val="000A10BC"/>
    <w:rsid w:val="000B0056"/>
    <w:rsid w:val="000B0099"/>
    <w:rsid w:val="000C3C7B"/>
    <w:rsid w:val="000D0F93"/>
    <w:rsid w:val="000E1C3D"/>
    <w:rsid w:val="000F1682"/>
    <w:rsid w:val="000F3FE0"/>
    <w:rsid w:val="00106416"/>
    <w:rsid w:val="00110481"/>
    <w:rsid w:val="001127C9"/>
    <w:rsid w:val="00115B88"/>
    <w:rsid w:val="00131291"/>
    <w:rsid w:val="00132F6A"/>
    <w:rsid w:val="00133913"/>
    <w:rsid w:val="00140221"/>
    <w:rsid w:val="00142243"/>
    <w:rsid w:val="001516EB"/>
    <w:rsid w:val="001562A5"/>
    <w:rsid w:val="001642FC"/>
    <w:rsid w:val="0016496B"/>
    <w:rsid w:val="00167A1F"/>
    <w:rsid w:val="001743E2"/>
    <w:rsid w:val="001745F8"/>
    <w:rsid w:val="001838CF"/>
    <w:rsid w:val="001868EE"/>
    <w:rsid w:val="00186D9A"/>
    <w:rsid w:val="001A3BA4"/>
    <w:rsid w:val="001A6D1F"/>
    <w:rsid w:val="001B1E0D"/>
    <w:rsid w:val="001E30F6"/>
    <w:rsid w:val="00203E17"/>
    <w:rsid w:val="00217EE5"/>
    <w:rsid w:val="00226C49"/>
    <w:rsid w:val="0023016F"/>
    <w:rsid w:val="00235F5C"/>
    <w:rsid w:val="00257FA3"/>
    <w:rsid w:val="00263DF3"/>
    <w:rsid w:val="00277946"/>
    <w:rsid w:val="00277B56"/>
    <w:rsid w:val="00283CAD"/>
    <w:rsid w:val="00295ED7"/>
    <w:rsid w:val="002A19F5"/>
    <w:rsid w:val="002A3241"/>
    <w:rsid w:val="002A4EF6"/>
    <w:rsid w:val="002B4922"/>
    <w:rsid w:val="002B5C89"/>
    <w:rsid w:val="002C22C3"/>
    <w:rsid w:val="002C2D19"/>
    <w:rsid w:val="002C7B1E"/>
    <w:rsid w:val="002D10FA"/>
    <w:rsid w:val="002D3B60"/>
    <w:rsid w:val="002D4C55"/>
    <w:rsid w:val="002D6221"/>
    <w:rsid w:val="002D6D13"/>
    <w:rsid w:val="002E6DED"/>
    <w:rsid w:val="002F57B6"/>
    <w:rsid w:val="00300956"/>
    <w:rsid w:val="003165FA"/>
    <w:rsid w:val="00317187"/>
    <w:rsid w:val="00317379"/>
    <w:rsid w:val="0032499A"/>
    <w:rsid w:val="00332444"/>
    <w:rsid w:val="003341F7"/>
    <w:rsid w:val="00347FEC"/>
    <w:rsid w:val="00356F45"/>
    <w:rsid w:val="0036265D"/>
    <w:rsid w:val="00363E3D"/>
    <w:rsid w:val="00366B74"/>
    <w:rsid w:val="003763A7"/>
    <w:rsid w:val="003A600C"/>
    <w:rsid w:val="003A710A"/>
    <w:rsid w:val="003B41D6"/>
    <w:rsid w:val="003B659E"/>
    <w:rsid w:val="003C275E"/>
    <w:rsid w:val="003C3B8A"/>
    <w:rsid w:val="003C4FDE"/>
    <w:rsid w:val="003D7C51"/>
    <w:rsid w:val="003E58DF"/>
    <w:rsid w:val="003F6183"/>
    <w:rsid w:val="00404C4C"/>
    <w:rsid w:val="0041423F"/>
    <w:rsid w:val="00414F81"/>
    <w:rsid w:val="00416FA4"/>
    <w:rsid w:val="00435A3D"/>
    <w:rsid w:val="00436A0F"/>
    <w:rsid w:val="00437150"/>
    <w:rsid w:val="0043750A"/>
    <w:rsid w:val="00443BF1"/>
    <w:rsid w:val="0046112A"/>
    <w:rsid w:val="00467E3D"/>
    <w:rsid w:val="004732E9"/>
    <w:rsid w:val="00481EE6"/>
    <w:rsid w:val="004854BB"/>
    <w:rsid w:val="00494493"/>
    <w:rsid w:val="00496606"/>
    <w:rsid w:val="004A2321"/>
    <w:rsid w:val="004B21D2"/>
    <w:rsid w:val="004C5582"/>
    <w:rsid w:val="004D3DE0"/>
    <w:rsid w:val="004E16A3"/>
    <w:rsid w:val="004E4F71"/>
    <w:rsid w:val="004E5E66"/>
    <w:rsid w:val="004E7ADB"/>
    <w:rsid w:val="004F0717"/>
    <w:rsid w:val="00500F50"/>
    <w:rsid w:val="00503B4D"/>
    <w:rsid w:val="00504EE9"/>
    <w:rsid w:val="00521576"/>
    <w:rsid w:val="005250E6"/>
    <w:rsid w:val="00537AC1"/>
    <w:rsid w:val="00542CA3"/>
    <w:rsid w:val="00542D23"/>
    <w:rsid w:val="0054442C"/>
    <w:rsid w:val="00550285"/>
    <w:rsid w:val="00562492"/>
    <w:rsid w:val="005700A8"/>
    <w:rsid w:val="00572A20"/>
    <w:rsid w:val="005836F8"/>
    <w:rsid w:val="0059122F"/>
    <w:rsid w:val="005918FA"/>
    <w:rsid w:val="00592A86"/>
    <w:rsid w:val="005A6E71"/>
    <w:rsid w:val="005B4801"/>
    <w:rsid w:val="005B6517"/>
    <w:rsid w:val="005C0618"/>
    <w:rsid w:val="005C1023"/>
    <w:rsid w:val="005C23A4"/>
    <w:rsid w:val="005C24A3"/>
    <w:rsid w:val="005C4385"/>
    <w:rsid w:val="005D1CDF"/>
    <w:rsid w:val="005D2BB7"/>
    <w:rsid w:val="005E61A8"/>
    <w:rsid w:val="005F6419"/>
    <w:rsid w:val="0060543D"/>
    <w:rsid w:val="006104DD"/>
    <w:rsid w:val="006130B5"/>
    <w:rsid w:val="00617400"/>
    <w:rsid w:val="00632D29"/>
    <w:rsid w:val="00646314"/>
    <w:rsid w:val="0065578D"/>
    <w:rsid w:val="00661B3E"/>
    <w:rsid w:val="00664950"/>
    <w:rsid w:val="00667039"/>
    <w:rsid w:val="00683220"/>
    <w:rsid w:val="00687FA0"/>
    <w:rsid w:val="00696C9D"/>
    <w:rsid w:val="006A3C11"/>
    <w:rsid w:val="006B7010"/>
    <w:rsid w:val="006C3095"/>
    <w:rsid w:val="006C6EEF"/>
    <w:rsid w:val="006D2B1A"/>
    <w:rsid w:val="006D7F59"/>
    <w:rsid w:val="006E0C1D"/>
    <w:rsid w:val="006E1151"/>
    <w:rsid w:val="006E505C"/>
    <w:rsid w:val="006E6311"/>
    <w:rsid w:val="006E774B"/>
    <w:rsid w:val="006F3F78"/>
    <w:rsid w:val="00702566"/>
    <w:rsid w:val="007145FF"/>
    <w:rsid w:val="00715B2A"/>
    <w:rsid w:val="007450F1"/>
    <w:rsid w:val="007459AB"/>
    <w:rsid w:val="00746DDD"/>
    <w:rsid w:val="00751515"/>
    <w:rsid w:val="00751A6F"/>
    <w:rsid w:val="007528E5"/>
    <w:rsid w:val="007626B7"/>
    <w:rsid w:val="00763B77"/>
    <w:rsid w:val="007743C0"/>
    <w:rsid w:val="007753CB"/>
    <w:rsid w:val="007765C9"/>
    <w:rsid w:val="0078212B"/>
    <w:rsid w:val="0078235F"/>
    <w:rsid w:val="00784DF6"/>
    <w:rsid w:val="00785232"/>
    <w:rsid w:val="007A55C3"/>
    <w:rsid w:val="007B186C"/>
    <w:rsid w:val="007B6620"/>
    <w:rsid w:val="007B7AF0"/>
    <w:rsid w:val="007C1696"/>
    <w:rsid w:val="007C3ED0"/>
    <w:rsid w:val="007C5971"/>
    <w:rsid w:val="007D5836"/>
    <w:rsid w:val="007F54B9"/>
    <w:rsid w:val="007F6BFD"/>
    <w:rsid w:val="00806A76"/>
    <w:rsid w:val="00810FEE"/>
    <w:rsid w:val="00811C9D"/>
    <w:rsid w:val="00816C80"/>
    <w:rsid w:val="00831985"/>
    <w:rsid w:val="00841BCD"/>
    <w:rsid w:val="00844C81"/>
    <w:rsid w:val="00851A8E"/>
    <w:rsid w:val="0085365B"/>
    <w:rsid w:val="00863EAF"/>
    <w:rsid w:val="00864BB5"/>
    <w:rsid w:val="00873F8E"/>
    <w:rsid w:val="0087443E"/>
    <w:rsid w:val="008826C1"/>
    <w:rsid w:val="00883DFD"/>
    <w:rsid w:val="008A1BF7"/>
    <w:rsid w:val="008A3EE9"/>
    <w:rsid w:val="008A4A21"/>
    <w:rsid w:val="008A5B0E"/>
    <w:rsid w:val="008B0961"/>
    <w:rsid w:val="008B34CF"/>
    <w:rsid w:val="008C39F7"/>
    <w:rsid w:val="008E773E"/>
    <w:rsid w:val="008F7946"/>
    <w:rsid w:val="008F7F7F"/>
    <w:rsid w:val="0090091A"/>
    <w:rsid w:val="009042BD"/>
    <w:rsid w:val="00904FE4"/>
    <w:rsid w:val="00912CFC"/>
    <w:rsid w:val="00913D99"/>
    <w:rsid w:val="009233A4"/>
    <w:rsid w:val="009241EF"/>
    <w:rsid w:val="00936159"/>
    <w:rsid w:val="00974FED"/>
    <w:rsid w:val="00977E1D"/>
    <w:rsid w:val="009976A9"/>
    <w:rsid w:val="009B0573"/>
    <w:rsid w:val="009B0D99"/>
    <w:rsid w:val="009B4E1F"/>
    <w:rsid w:val="009B7B4B"/>
    <w:rsid w:val="009B7C21"/>
    <w:rsid w:val="009C4E2D"/>
    <w:rsid w:val="00A04992"/>
    <w:rsid w:val="00A147AA"/>
    <w:rsid w:val="00A2087B"/>
    <w:rsid w:val="00A21D71"/>
    <w:rsid w:val="00A22B78"/>
    <w:rsid w:val="00A25AE5"/>
    <w:rsid w:val="00A27154"/>
    <w:rsid w:val="00A30CAD"/>
    <w:rsid w:val="00A37002"/>
    <w:rsid w:val="00A4355E"/>
    <w:rsid w:val="00A50C96"/>
    <w:rsid w:val="00A54486"/>
    <w:rsid w:val="00A547B2"/>
    <w:rsid w:val="00A5720F"/>
    <w:rsid w:val="00A72023"/>
    <w:rsid w:val="00A72299"/>
    <w:rsid w:val="00A92BCD"/>
    <w:rsid w:val="00A96534"/>
    <w:rsid w:val="00AA1B0E"/>
    <w:rsid w:val="00AA27EA"/>
    <w:rsid w:val="00AA47B6"/>
    <w:rsid w:val="00AB1C73"/>
    <w:rsid w:val="00AC163B"/>
    <w:rsid w:val="00AC349D"/>
    <w:rsid w:val="00AC5CA7"/>
    <w:rsid w:val="00AC6058"/>
    <w:rsid w:val="00AE2BA5"/>
    <w:rsid w:val="00AE4CBB"/>
    <w:rsid w:val="00AE56B1"/>
    <w:rsid w:val="00AE6D09"/>
    <w:rsid w:val="00AF1D68"/>
    <w:rsid w:val="00AF7A7C"/>
    <w:rsid w:val="00B02070"/>
    <w:rsid w:val="00B279F0"/>
    <w:rsid w:val="00B408B6"/>
    <w:rsid w:val="00B42997"/>
    <w:rsid w:val="00B542DA"/>
    <w:rsid w:val="00B61746"/>
    <w:rsid w:val="00B6440F"/>
    <w:rsid w:val="00B73862"/>
    <w:rsid w:val="00B73F43"/>
    <w:rsid w:val="00BA50C0"/>
    <w:rsid w:val="00BA6B66"/>
    <w:rsid w:val="00BA6E48"/>
    <w:rsid w:val="00BA75EA"/>
    <w:rsid w:val="00BB606A"/>
    <w:rsid w:val="00BD7A68"/>
    <w:rsid w:val="00BE0AF6"/>
    <w:rsid w:val="00BE1F03"/>
    <w:rsid w:val="00BE58A7"/>
    <w:rsid w:val="00BF2218"/>
    <w:rsid w:val="00BF3C98"/>
    <w:rsid w:val="00C0426B"/>
    <w:rsid w:val="00C045DF"/>
    <w:rsid w:val="00C07E4B"/>
    <w:rsid w:val="00C259AE"/>
    <w:rsid w:val="00C26D43"/>
    <w:rsid w:val="00C30DAA"/>
    <w:rsid w:val="00C46548"/>
    <w:rsid w:val="00C574D5"/>
    <w:rsid w:val="00C72132"/>
    <w:rsid w:val="00C73F32"/>
    <w:rsid w:val="00C87462"/>
    <w:rsid w:val="00CA180C"/>
    <w:rsid w:val="00CA1BD9"/>
    <w:rsid w:val="00CB22B2"/>
    <w:rsid w:val="00CB308F"/>
    <w:rsid w:val="00CB3CA7"/>
    <w:rsid w:val="00CC3EE2"/>
    <w:rsid w:val="00CD461C"/>
    <w:rsid w:val="00CD6020"/>
    <w:rsid w:val="00CD7492"/>
    <w:rsid w:val="00CE21B0"/>
    <w:rsid w:val="00CE3A6B"/>
    <w:rsid w:val="00CE4D87"/>
    <w:rsid w:val="00CE7085"/>
    <w:rsid w:val="00CF001C"/>
    <w:rsid w:val="00CF6F7A"/>
    <w:rsid w:val="00D00211"/>
    <w:rsid w:val="00D06309"/>
    <w:rsid w:val="00D14617"/>
    <w:rsid w:val="00D200F6"/>
    <w:rsid w:val="00D23A44"/>
    <w:rsid w:val="00D351EA"/>
    <w:rsid w:val="00D40288"/>
    <w:rsid w:val="00D41805"/>
    <w:rsid w:val="00D41ED4"/>
    <w:rsid w:val="00D43403"/>
    <w:rsid w:val="00D44921"/>
    <w:rsid w:val="00D5270B"/>
    <w:rsid w:val="00D62E71"/>
    <w:rsid w:val="00D6430D"/>
    <w:rsid w:val="00D66188"/>
    <w:rsid w:val="00D670E7"/>
    <w:rsid w:val="00D702BD"/>
    <w:rsid w:val="00D731F6"/>
    <w:rsid w:val="00D740CA"/>
    <w:rsid w:val="00D85728"/>
    <w:rsid w:val="00D90FC8"/>
    <w:rsid w:val="00D95481"/>
    <w:rsid w:val="00D97020"/>
    <w:rsid w:val="00DA31C7"/>
    <w:rsid w:val="00DA4776"/>
    <w:rsid w:val="00DB1012"/>
    <w:rsid w:val="00DB49B7"/>
    <w:rsid w:val="00DC7A13"/>
    <w:rsid w:val="00DF22F2"/>
    <w:rsid w:val="00DF2997"/>
    <w:rsid w:val="00DF30B8"/>
    <w:rsid w:val="00E06AF9"/>
    <w:rsid w:val="00E10BC4"/>
    <w:rsid w:val="00E13D39"/>
    <w:rsid w:val="00E1415D"/>
    <w:rsid w:val="00E2629E"/>
    <w:rsid w:val="00E323E9"/>
    <w:rsid w:val="00E34018"/>
    <w:rsid w:val="00E418C1"/>
    <w:rsid w:val="00E430A7"/>
    <w:rsid w:val="00E437D2"/>
    <w:rsid w:val="00E508DB"/>
    <w:rsid w:val="00E52FB5"/>
    <w:rsid w:val="00E55751"/>
    <w:rsid w:val="00E66F3D"/>
    <w:rsid w:val="00E724D4"/>
    <w:rsid w:val="00E815EB"/>
    <w:rsid w:val="00E8735D"/>
    <w:rsid w:val="00EA2311"/>
    <w:rsid w:val="00EA53EF"/>
    <w:rsid w:val="00EB69D9"/>
    <w:rsid w:val="00EC5C8F"/>
    <w:rsid w:val="00EC7BC3"/>
    <w:rsid w:val="00ED194B"/>
    <w:rsid w:val="00ED7600"/>
    <w:rsid w:val="00EE59D1"/>
    <w:rsid w:val="00EF48DD"/>
    <w:rsid w:val="00EF6073"/>
    <w:rsid w:val="00EF698B"/>
    <w:rsid w:val="00F119E6"/>
    <w:rsid w:val="00F1362C"/>
    <w:rsid w:val="00F13E2D"/>
    <w:rsid w:val="00F231C7"/>
    <w:rsid w:val="00F248E1"/>
    <w:rsid w:val="00F27319"/>
    <w:rsid w:val="00F32D70"/>
    <w:rsid w:val="00F414F1"/>
    <w:rsid w:val="00F508B8"/>
    <w:rsid w:val="00F533F0"/>
    <w:rsid w:val="00F56FCA"/>
    <w:rsid w:val="00F72CB1"/>
    <w:rsid w:val="00F73450"/>
    <w:rsid w:val="00F8215E"/>
    <w:rsid w:val="00F824F5"/>
    <w:rsid w:val="00F871D9"/>
    <w:rsid w:val="00F90FAB"/>
    <w:rsid w:val="00F9374D"/>
    <w:rsid w:val="00FB1BEF"/>
    <w:rsid w:val="00FB4FEF"/>
    <w:rsid w:val="00FC29B9"/>
    <w:rsid w:val="00FC6FD3"/>
    <w:rsid w:val="00FE305C"/>
    <w:rsid w:val="00FE4FA6"/>
    <w:rsid w:val="00FF0301"/>
    <w:rsid w:val="01881774"/>
    <w:rsid w:val="03684232"/>
    <w:rsid w:val="0B42F3CC"/>
    <w:rsid w:val="0E6E46F4"/>
    <w:rsid w:val="108B31D2"/>
    <w:rsid w:val="17A52E02"/>
    <w:rsid w:val="1B34ED6D"/>
    <w:rsid w:val="2132E7EB"/>
    <w:rsid w:val="32CEAFAB"/>
    <w:rsid w:val="34103E96"/>
    <w:rsid w:val="34EC47F4"/>
    <w:rsid w:val="36881855"/>
    <w:rsid w:val="3823E8B6"/>
    <w:rsid w:val="391F338D"/>
    <w:rsid w:val="3F36DDF3"/>
    <w:rsid w:val="43D62D0E"/>
    <w:rsid w:val="4525BEF4"/>
    <w:rsid w:val="490EB3C8"/>
    <w:rsid w:val="590AE4E8"/>
    <w:rsid w:val="59DA3C01"/>
    <w:rsid w:val="5D98FA75"/>
    <w:rsid w:val="6080AD9E"/>
    <w:rsid w:val="6414F1CB"/>
    <w:rsid w:val="66391E0A"/>
    <w:rsid w:val="66E9748D"/>
    <w:rsid w:val="68D30205"/>
    <w:rsid w:val="6993BFD8"/>
    <w:rsid w:val="6AE1EA0A"/>
    <w:rsid w:val="6B88604A"/>
    <w:rsid w:val="75A5E23C"/>
    <w:rsid w:val="77AFD007"/>
    <w:rsid w:val="78190655"/>
    <w:rsid w:val="7A61D8BB"/>
    <w:rsid w:val="7AD58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docId w15:val="{548F0764-311C-4CEB-822A-EAD5A03EF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88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5C4385"/>
    <w:pPr>
      <w:tabs>
        <w:tab w:val="right" w:leader="dot" w:pos="9617"/>
      </w:tabs>
      <w:spacing w:after="100"/>
    </w:pPr>
    <w:rPr>
      <w:b/>
    </w:rPr>
  </w:style>
  <w:style w:type="paragraph" w:styleId="NormalWeb">
    <w:name w:val="Normal (Web)"/>
    <w:basedOn w:val="Normal"/>
    <w:uiPriority w:val="99"/>
    <w:unhideWhenUsed/>
    <w:rsid w:val="00B61746"/>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B6174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B61746"/>
  </w:style>
  <w:style w:type="character" w:customStyle="1" w:styleId="eop">
    <w:name w:val="eop"/>
    <w:basedOn w:val="DefaultParagraphFont"/>
    <w:rsid w:val="00B61746"/>
  </w:style>
  <w:style w:type="character" w:customStyle="1" w:styleId="spellingerror">
    <w:name w:val="spellingerror"/>
    <w:basedOn w:val="DefaultParagraphFont"/>
    <w:rsid w:val="00B61746"/>
  </w:style>
  <w:style w:type="paragraph" w:styleId="Revision">
    <w:name w:val="Revision"/>
    <w:hidden/>
    <w:uiPriority w:val="99"/>
    <w:semiHidden/>
    <w:rsid w:val="00F871D9"/>
    <w:pPr>
      <w:spacing w:after="0" w:line="240" w:lineRule="auto"/>
    </w:pPr>
    <w:rPr>
      <w:rFonts w:ascii="Times New Roman" w:hAnsi="Times New Roman"/>
      <w:sz w:val="20"/>
    </w:rPr>
  </w:style>
  <w:style w:type="table" w:customStyle="1" w:styleId="TableGrid1">
    <w:name w:val="Table Grid1"/>
    <w:basedOn w:val="TableNormal"/>
    <w:next w:val="TableGrid"/>
    <w:uiPriority w:val="59"/>
    <w:rsid w:val="00CD6020"/>
    <w:pPr>
      <w:spacing w:after="0" w:line="240" w:lineRule="auto"/>
    </w:pPr>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82953">
      <w:bodyDiv w:val="1"/>
      <w:marLeft w:val="0"/>
      <w:marRight w:val="0"/>
      <w:marTop w:val="0"/>
      <w:marBottom w:val="0"/>
      <w:divBdr>
        <w:top w:val="none" w:sz="0" w:space="0" w:color="auto"/>
        <w:left w:val="none" w:sz="0" w:space="0" w:color="auto"/>
        <w:bottom w:val="none" w:sz="0" w:space="0" w:color="auto"/>
        <w:right w:val="none" w:sz="0" w:space="0" w:color="auto"/>
      </w:divBdr>
      <w:divsChild>
        <w:div w:id="331220475">
          <w:marLeft w:val="0"/>
          <w:marRight w:val="0"/>
          <w:marTop w:val="0"/>
          <w:marBottom w:val="0"/>
          <w:divBdr>
            <w:top w:val="none" w:sz="0" w:space="0" w:color="auto"/>
            <w:left w:val="none" w:sz="0" w:space="0" w:color="auto"/>
            <w:bottom w:val="none" w:sz="0" w:space="0" w:color="auto"/>
            <w:right w:val="none" w:sz="0" w:space="0" w:color="auto"/>
          </w:divBdr>
        </w:div>
      </w:divsChild>
    </w:div>
    <w:div w:id="282808244">
      <w:bodyDiv w:val="1"/>
      <w:marLeft w:val="0"/>
      <w:marRight w:val="0"/>
      <w:marTop w:val="0"/>
      <w:marBottom w:val="0"/>
      <w:divBdr>
        <w:top w:val="none" w:sz="0" w:space="0" w:color="auto"/>
        <w:left w:val="none" w:sz="0" w:space="0" w:color="auto"/>
        <w:bottom w:val="none" w:sz="0" w:space="0" w:color="auto"/>
        <w:right w:val="none" w:sz="0" w:space="0" w:color="auto"/>
      </w:divBdr>
    </w:div>
    <w:div w:id="307519138">
      <w:bodyDiv w:val="1"/>
      <w:marLeft w:val="0"/>
      <w:marRight w:val="0"/>
      <w:marTop w:val="0"/>
      <w:marBottom w:val="0"/>
      <w:divBdr>
        <w:top w:val="none" w:sz="0" w:space="0" w:color="auto"/>
        <w:left w:val="none" w:sz="0" w:space="0" w:color="auto"/>
        <w:bottom w:val="none" w:sz="0" w:space="0" w:color="auto"/>
        <w:right w:val="none" w:sz="0" w:space="0" w:color="auto"/>
      </w:divBdr>
    </w:div>
    <w:div w:id="581061117">
      <w:bodyDiv w:val="1"/>
      <w:marLeft w:val="0"/>
      <w:marRight w:val="0"/>
      <w:marTop w:val="0"/>
      <w:marBottom w:val="0"/>
      <w:divBdr>
        <w:top w:val="none" w:sz="0" w:space="0" w:color="auto"/>
        <w:left w:val="none" w:sz="0" w:space="0" w:color="auto"/>
        <w:bottom w:val="none" w:sz="0" w:space="0" w:color="auto"/>
        <w:right w:val="none" w:sz="0" w:space="0" w:color="auto"/>
      </w:divBdr>
    </w:div>
    <w:div w:id="607469876">
      <w:bodyDiv w:val="1"/>
      <w:marLeft w:val="0"/>
      <w:marRight w:val="0"/>
      <w:marTop w:val="0"/>
      <w:marBottom w:val="0"/>
      <w:divBdr>
        <w:top w:val="none" w:sz="0" w:space="0" w:color="auto"/>
        <w:left w:val="none" w:sz="0" w:space="0" w:color="auto"/>
        <w:bottom w:val="none" w:sz="0" w:space="0" w:color="auto"/>
        <w:right w:val="none" w:sz="0" w:space="0" w:color="auto"/>
      </w:divBdr>
    </w:div>
    <w:div w:id="653266314">
      <w:bodyDiv w:val="1"/>
      <w:marLeft w:val="0"/>
      <w:marRight w:val="0"/>
      <w:marTop w:val="0"/>
      <w:marBottom w:val="0"/>
      <w:divBdr>
        <w:top w:val="none" w:sz="0" w:space="0" w:color="auto"/>
        <w:left w:val="none" w:sz="0" w:space="0" w:color="auto"/>
        <w:bottom w:val="none" w:sz="0" w:space="0" w:color="auto"/>
        <w:right w:val="none" w:sz="0" w:space="0" w:color="auto"/>
      </w:divBdr>
    </w:div>
    <w:div w:id="680551901">
      <w:bodyDiv w:val="1"/>
      <w:marLeft w:val="0"/>
      <w:marRight w:val="0"/>
      <w:marTop w:val="0"/>
      <w:marBottom w:val="0"/>
      <w:divBdr>
        <w:top w:val="none" w:sz="0" w:space="0" w:color="auto"/>
        <w:left w:val="none" w:sz="0" w:space="0" w:color="auto"/>
        <w:bottom w:val="none" w:sz="0" w:space="0" w:color="auto"/>
        <w:right w:val="none" w:sz="0" w:space="0" w:color="auto"/>
      </w:divBdr>
    </w:div>
    <w:div w:id="744380899">
      <w:bodyDiv w:val="1"/>
      <w:marLeft w:val="0"/>
      <w:marRight w:val="0"/>
      <w:marTop w:val="0"/>
      <w:marBottom w:val="0"/>
      <w:divBdr>
        <w:top w:val="none" w:sz="0" w:space="0" w:color="auto"/>
        <w:left w:val="none" w:sz="0" w:space="0" w:color="auto"/>
        <w:bottom w:val="none" w:sz="0" w:space="0" w:color="auto"/>
        <w:right w:val="none" w:sz="0" w:space="0" w:color="auto"/>
      </w:divBdr>
    </w:div>
    <w:div w:id="825975127">
      <w:bodyDiv w:val="1"/>
      <w:marLeft w:val="0"/>
      <w:marRight w:val="0"/>
      <w:marTop w:val="0"/>
      <w:marBottom w:val="0"/>
      <w:divBdr>
        <w:top w:val="none" w:sz="0" w:space="0" w:color="auto"/>
        <w:left w:val="none" w:sz="0" w:space="0" w:color="auto"/>
        <w:bottom w:val="none" w:sz="0" w:space="0" w:color="auto"/>
        <w:right w:val="none" w:sz="0" w:space="0" w:color="auto"/>
      </w:divBdr>
    </w:div>
    <w:div w:id="1055814290">
      <w:bodyDiv w:val="1"/>
      <w:marLeft w:val="0"/>
      <w:marRight w:val="0"/>
      <w:marTop w:val="0"/>
      <w:marBottom w:val="0"/>
      <w:divBdr>
        <w:top w:val="none" w:sz="0" w:space="0" w:color="auto"/>
        <w:left w:val="none" w:sz="0" w:space="0" w:color="auto"/>
        <w:bottom w:val="none" w:sz="0" w:space="0" w:color="auto"/>
        <w:right w:val="none" w:sz="0" w:space="0" w:color="auto"/>
      </w:divBdr>
    </w:div>
    <w:div w:id="1150943627">
      <w:bodyDiv w:val="1"/>
      <w:marLeft w:val="0"/>
      <w:marRight w:val="0"/>
      <w:marTop w:val="0"/>
      <w:marBottom w:val="0"/>
      <w:divBdr>
        <w:top w:val="none" w:sz="0" w:space="0" w:color="auto"/>
        <w:left w:val="none" w:sz="0" w:space="0" w:color="auto"/>
        <w:bottom w:val="none" w:sz="0" w:space="0" w:color="auto"/>
        <w:right w:val="none" w:sz="0" w:space="0" w:color="auto"/>
      </w:divBdr>
    </w:div>
    <w:div w:id="1701542825">
      <w:bodyDiv w:val="1"/>
      <w:marLeft w:val="0"/>
      <w:marRight w:val="0"/>
      <w:marTop w:val="0"/>
      <w:marBottom w:val="0"/>
      <w:divBdr>
        <w:top w:val="none" w:sz="0" w:space="0" w:color="auto"/>
        <w:left w:val="none" w:sz="0" w:space="0" w:color="auto"/>
        <w:bottom w:val="none" w:sz="0" w:space="0" w:color="auto"/>
        <w:right w:val="none" w:sz="0" w:space="0" w:color="auto"/>
      </w:divBdr>
    </w:div>
    <w:div w:id="1779834445">
      <w:bodyDiv w:val="1"/>
      <w:marLeft w:val="0"/>
      <w:marRight w:val="0"/>
      <w:marTop w:val="0"/>
      <w:marBottom w:val="0"/>
      <w:divBdr>
        <w:top w:val="none" w:sz="0" w:space="0" w:color="auto"/>
        <w:left w:val="none" w:sz="0" w:space="0" w:color="auto"/>
        <w:bottom w:val="none" w:sz="0" w:space="0" w:color="auto"/>
        <w:right w:val="none" w:sz="0" w:space="0" w:color="auto"/>
      </w:divBdr>
    </w:div>
    <w:div w:id="1780484336">
      <w:bodyDiv w:val="1"/>
      <w:marLeft w:val="0"/>
      <w:marRight w:val="0"/>
      <w:marTop w:val="0"/>
      <w:marBottom w:val="0"/>
      <w:divBdr>
        <w:top w:val="none" w:sz="0" w:space="0" w:color="auto"/>
        <w:left w:val="none" w:sz="0" w:space="0" w:color="auto"/>
        <w:bottom w:val="none" w:sz="0" w:space="0" w:color="auto"/>
        <w:right w:val="none" w:sz="0" w:space="0" w:color="auto"/>
      </w:divBdr>
    </w:div>
    <w:div w:id="1890190482">
      <w:bodyDiv w:val="1"/>
      <w:marLeft w:val="0"/>
      <w:marRight w:val="0"/>
      <w:marTop w:val="0"/>
      <w:marBottom w:val="0"/>
      <w:divBdr>
        <w:top w:val="none" w:sz="0" w:space="0" w:color="auto"/>
        <w:left w:val="none" w:sz="0" w:space="0" w:color="auto"/>
        <w:bottom w:val="none" w:sz="0" w:space="0" w:color="auto"/>
        <w:right w:val="none" w:sz="0" w:space="0" w:color="auto"/>
      </w:divBdr>
    </w:div>
    <w:div w:id="2024628934">
      <w:bodyDiv w:val="1"/>
      <w:marLeft w:val="0"/>
      <w:marRight w:val="0"/>
      <w:marTop w:val="0"/>
      <w:marBottom w:val="0"/>
      <w:divBdr>
        <w:top w:val="none" w:sz="0" w:space="0" w:color="auto"/>
        <w:left w:val="none" w:sz="0" w:space="0" w:color="auto"/>
        <w:bottom w:val="none" w:sz="0" w:space="0" w:color="auto"/>
        <w:right w:val="none" w:sz="0" w:space="0" w:color="auto"/>
      </w:divBdr>
    </w:div>
    <w:div w:id="2027519992">
      <w:bodyDiv w:val="1"/>
      <w:marLeft w:val="0"/>
      <w:marRight w:val="0"/>
      <w:marTop w:val="0"/>
      <w:marBottom w:val="0"/>
      <w:divBdr>
        <w:top w:val="none" w:sz="0" w:space="0" w:color="auto"/>
        <w:left w:val="none" w:sz="0" w:space="0" w:color="auto"/>
        <w:bottom w:val="none" w:sz="0" w:space="0" w:color="auto"/>
        <w:right w:val="none" w:sz="0" w:space="0" w:color="auto"/>
      </w:divBdr>
    </w:div>
    <w:div w:id="2084066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RBI5PAMIO524-1616901215-18195</_dlc_DocId>
    <HideFromDelve xmlns="71c5aaf6-e6ce-465b-b873-5148d2a4c105">false</HideFromDelve>
    <_dlc_DocIdUrl xmlns="71c5aaf6-e6ce-465b-b873-5148d2a4c105">
      <Url>https://nokia.sharepoint.com/sites/gxp/_layouts/15/DocIdRedir.aspx?ID=RBI5PAMIO524-1616901215-18195</Url>
      <Description>RBI5PAMIO524-1616901215-18195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2D320DC-DAA9-4536-B541-D04666251921}">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F74D44CD-7153-46C7-AE31-02A0637DB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2</TotalTime>
  <Pages>1</Pages>
  <Words>1546</Words>
  <Characters>8818</Characters>
  <Application>Microsoft Office Word</Application>
  <DocSecurity>0</DocSecurity>
  <Lines>73</Lines>
  <Paragraphs>20</Paragraphs>
  <ScaleCrop>false</ScaleCrop>
  <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Nokia</cp:lastModifiedBy>
  <cp:revision>7</cp:revision>
  <dcterms:created xsi:type="dcterms:W3CDTF">2024-04-04T12:22:00Z</dcterms:created>
  <dcterms:modified xsi:type="dcterms:W3CDTF">2024-04-08T19:34:00Z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5ba571a2-6085-41cc-bcbb-30e0fb903f1e</vt:lpwstr>
  </property>
  <property fmtid="{D5CDD505-2E9C-101B-9397-08002B2CF9AE}" pid="11" name="MediaServiceImageTags">
    <vt:lpwstr/>
  </property>
</Properties>
</file>